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AE" w:rsidRDefault="004F58AE">
      <w:pPr>
        <w:pStyle w:val="ConsPlusTitlePage"/>
      </w:pPr>
      <w:r>
        <w:t xml:space="preserve">Документ предоставлен </w:t>
      </w:r>
      <w:hyperlink r:id="rId4" w:history="1">
        <w:r>
          <w:rPr>
            <w:color w:val="0000FF"/>
          </w:rPr>
          <w:t>КонсультантПлюс</w:t>
        </w:r>
      </w:hyperlink>
      <w:r>
        <w:br/>
      </w:r>
    </w:p>
    <w:p w:rsidR="004F58AE" w:rsidRDefault="004F58AE">
      <w:pPr>
        <w:pStyle w:val="ConsPlusNormal"/>
        <w:jc w:val="both"/>
        <w:outlineLvl w:val="0"/>
      </w:pPr>
    </w:p>
    <w:p w:rsidR="004F58AE" w:rsidRDefault="004F58AE">
      <w:pPr>
        <w:pStyle w:val="ConsPlusTitle"/>
        <w:jc w:val="center"/>
        <w:outlineLvl w:val="0"/>
      </w:pPr>
      <w:r>
        <w:t>ПРАВИТЕЛЬСТВО САРАТОВСКОЙ ОБЛАСТИ</w:t>
      </w:r>
    </w:p>
    <w:p w:rsidR="004F58AE" w:rsidRDefault="004F58AE">
      <w:pPr>
        <w:pStyle w:val="ConsPlusTitle"/>
        <w:jc w:val="center"/>
      </w:pPr>
    </w:p>
    <w:p w:rsidR="004F58AE" w:rsidRDefault="004F58AE">
      <w:pPr>
        <w:pStyle w:val="ConsPlusTitle"/>
        <w:jc w:val="center"/>
      </w:pPr>
      <w:r>
        <w:t>ПОСТАНОВЛЕНИЕ</w:t>
      </w:r>
    </w:p>
    <w:p w:rsidR="004F58AE" w:rsidRDefault="004F58AE">
      <w:pPr>
        <w:pStyle w:val="ConsPlusTitle"/>
        <w:jc w:val="center"/>
      </w:pPr>
      <w:r>
        <w:t>от 1 сентября 2014 г. N 498-П</w:t>
      </w:r>
    </w:p>
    <w:p w:rsidR="004F58AE" w:rsidRDefault="004F58AE">
      <w:pPr>
        <w:pStyle w:val="ConsPlusTitle"/>
        <w:jc w:val="center"/>
      </w:pPr>
    </w:p>
    <w:p w:rsidR="004F58AE" w:rsidRDefault="004F58AE">
      <w:pPr>
        <w:pStyle w:val="ConsPlusTitle"/>
        <w:jc w:val="center"/>
      </w:pPr>
      <w:r>
        <w:t>О ПОРЯДКЕ ПРЕДОСТАВЛЕНИЯ И УСЛОВИЯХ РАСХОДОВАНИЯ</w:t>
      </w:r>
    </w:p>
    <w:p w:rsidR="004F58AE" w:rsidRDefault="004F58AE">
      <w:pPr>
        <w:pStyle w:val="ConsPlusTitle"/>
        <w:jc w:val="center"/>
      </w:pPr>
      <w:r>
        <w:t>ИЗ ОБЛАСТНОГО БЮДЖЕТА СУБСИДИИ БЮДЖЕТАМ МУНИЦИПАЛЬНЫХ</w:t>
      </w:r>
    </w:p>
    <w:p w:rsidR="004F58AE" w:rsidRDefault="004F58AE">
      <w:pPr>
        <w:pStyle w:val="ConsPlusTitle"/>
        <w:jc w:val="center"/>
      </w:pPr>
      <w:r>
        <w:t>РАЙОНОВ ОБЛАСТИ НА ЗАКУПКУ КОМПЛЕКТОВ ИСКУССТВЕННЫХ ПОКРЫТИЙ</w:t>
      </w:r>
    </w:p>
    <w:p w:rsidR="004F58AE" w:rsidRDefault="004F58AE">
      <w:pPr>
        <w:pStyle w:val="ConsPlusTitle"/>
        <w:jc w:val="center"/>
      </w:pPr>
      <w:r>
        <w:t>ДЛЯ ФУТБОЛЬНЫХ ПОЛЕЙ ДЛЯ СПОРТИВНЫХ ДЕТСКО-ЮНОШЕСКИХ ШКОЛ</w:t>
      </w:r>
    </w:p>
    <w:p w:rsidR="004F58AE" w:rsidRDefault="004F58AE">
      <w:pPr>
        <w:pStyle w:val="ConsPlusTitle"/>
        <w:jc w:val="center"/>
      </w:pPr>
      <w:r>
        <w:t>ОБЛАСТИ, ВКЛЮЧАЯ ИХ ДОСТАВКУ И СЕРТИФИКАЦИЮ ПОЛЕЙ</w:t>
      </w:r>
    </w:p>
    <w:p w:rsidR="004F58AE" w:rsidRDefault="004F58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8AE">
        <w:trPr>
          <w:jc w:val="center"/>
        </w:trPr>
        <w:tc>
          <w:tcPr>
            <w:tcW w:w="9294" w:type="dxa"/>
            <w:tcBorders>
              <w:top w:val="nil"/>
              <w:left w:val="single" w:sz="24" w:space="0" w:color="CED3F1"/>
              <w:bottom w:val="nil"/>
              <w:right w:val="single" w:sz="24" w:space="0" w:color="F4F3F8"/>
            </w:tcBorders>
            <w:shd w:val="clear" w:color="auto" w:fill="F4F3F8"/>
          </w:tcPr>
          <w:p w:rsidR="004F58AE" w:rsidRDefault="004F58AE">
            <w:pPr>
              <w:pStyle w:val="ConsPlusNormal"/>
              <w:jc w:val="center"/>
            </w:pPr>
            <w:r>
              <w:rPr>
                <w:color w:val="392C69"/>
              </w:rPr>
              <w:t>Список изменяющих документов</w:t>
            </w:r>
          </w:p>
          <w:p w:rsidR="004F58AE" w:rsidRDefault="004F58AE">
            <w:pPr>
              <w:pStyle w:val="ConsPlusNormal"/>
              <w:jc w:val="center"/>
            </w:pPr>
            <w:r>
              <w:rPr>
                <w:color w:val="392C69"/>
              </w:rPr>
              <w:t>(в ред. постановлений Правительства Саратовской области</w:t>
            </w:r>
          </w:p>
          <w:p w:rsidR="004F58AE" w:rsidRDefault="004F58AE">
            <w:pPr>
              <w:pStyle w:val="ConsPlusNormal"/>
              <w:jc w:val="center"/>
            </w:pPr>
            <w:r>
              <w:rPr>
                <w:color w:val="392C69"/>
              </w:rPr>
              <w:t xml:space="preserve">от 05.06.2015 </w:t>
            </w:r>
            <w:hyperlink r:id="rId5" w:history="1">
              <w:r>
                <w:rPr>
                  <w:color w:val="0000FF"/>
                </w:rPr>
                <w:t>N 266-П</w:t>
              </w:r>
            </w:hyperlink>
            <w:r>
              <w:rPr>
                <w:color w:val="392C69"/>
              </w:rPr>
              <w:t xml:space="preserve">, от 27.04.2017 </w:t>
            </w:r>
            <w:hyperlink r:id="rId6" w:history="1">
              <w:r>
                <w:rPr>
                  <w:color w:val="0000FF"/>
                </w:rPr>
                <w:t>N 209-П</w:t>
              </w:r>
            </w:hyperlink>
            <w:r>
              <w:rPr>
                <w:color w:val="392C69"/>
              </w:rPr>
              <w:t xml:space="preserve">, от 04.12.2017 </w:t>
            </w:r>
            <w:hyperlink r:id="rId7" w:history="1">
              <w:r>
                <w:rPr>
                  <w:color w:val="0000FF"/>
                </w:rPr>
                <w:t>N 618-П</w:t>
              </w:r>
            </w:hyperlink>
            <w:r>
              <w:rPr>
                <w:color w:val="392C69"/>
              </w:rPr>
              <w:t>,</w:t>
            </w:r>
          </w:p>
          <w:p w:rsidR="004F58AE" w:rsidRDefault="004F58AE">
            <w:pPr>
              <w:pStyle w:val="ConsPlusNormal"/>
              <w:jc w:val="center"/>
            </w:pPr>
            <w:r>
              <w:rPr>
                <w:color w:val="392C69"/>
              </w:rPr>
              <w:t xml:space="preserve">от 14.03.2018 </w:t>
            </w:r>
            <w:hyperlink r:id="rId8" w:history="1">
              <w:r>
                <w:rPr>
                  <w:color w:val="0000FF"/>
                </w:rPr>
                <w:t>N 125-П</w:t>
              </w:r>
            </w:hyperlink>
            <w:r>
              <w:rPr>
                <w:color w:val="392C69"/>
              </w:rPr>
              <w:t>)</w:t>
            </w:r>
          </w:p>
        </w:tc>
      </w:tr>
    </w:tbl>
    <w:p w:rsidR="004F58AE" w:rsidRDefault="004F58AE">
      <w:pPr>
        <w:pStyle w:val="ConsPlusNormal"/>
        <w:jc w:val="both"/>
      </w:pPr>
    </w:p>
    <w:p w:rsidR="004F58AE" w:rsidRDefault="004F58AE">
      <w:pPr>
        <w:pStyle w:val="ConsPlusNormal"/>
        <w:ind w:firstLine="540"/>
        <w:jc w:val="both"/>
      </w:pPr>
      <w:r>
        <w:t xml:space="preserve">В рамках реализации </w:t>
      </w:r>
      <w:hyperlink r:id="rId9" w:history="1">
        <w:r>
          <w:rPr>
            <w:color w:val="0000FF"/>
          </w:rPr>
          <w:t>Закона</w:t>
        </w:r>
      </w:hyperlink>
      <w:r>
        <w:t xml:space="preserve"> Саратовской области "Об областном бюджете на 2018 год и на плановый период 2019 и 2020 годов" и мероприятий </w:t>
      </w:r>
      <w:hyperlink r:id="rId10" w:history="1">
        <w:r>
          <w:rPr>
            <w:color w:val="0000FF"/>
          </w:rPr>
          <w:t>подпрограммы 4</w:t>
        </w:r>
      </w:hyperlink>
      <w:r>
        <w:t xml:space="preserve"> "Материально-техническая база спорта" государственной программы Саратовской области "Развитие физической культуры, спорта, туризма и молодежной политики" на 2014 - 2020 годы, утвержденной постановлением Правительства Саратовской области от 3 октября 2013 года N 526-П, Правительство области постановляет:</w:t>
      </w:r>
    </w:p>
    <w:p w:rsidR="004F58AE" w:rsidRDefault="004F58AE">
      <w:pPr>
        <w:pStyle w:val="ConsPlusNormal"/>
        <w:jc w:val="both"/>
      </w:pPr>
      <w:r>
        <w:t xml:space="preserve">(преамбула в ред. </w:t>
      </w:r>
      <w:hyperlink r:id="rId11" w:history="1">
        <w:r>
          <w:rPr>
            <w:color w:val="0000FF"/>
          </w:rPr>
          <w:t>постановления</w:t>
        </w:r>
      </w:hyperlink>
      <w:r>
        <w:t xml:space="preserve"> Правительства Саратовской области от 14.03.2018 N 125-П)</w:t>
      </w:r>
    </w:p>
    <w:p w:rsidR="004F58AE" w:rsidRDefault="004F58AE">
      <w:pPr>
        <w:pStyle w:val="ConsPlusNormal"/>
        <w:spacing w:before="220"/>
        <w:ind w:firstLine="540"/>
        <w:jc w:val="both"/>
      </w:pPr>
      <w:r>
        <w:t>1. Утвердить:</w:t>
      </w:r>
    </w:p>
    <w:p w:rsidR="004F58AE" w:rsidRDefault="004F58AE">
      <w:pPr>
        <w:pStyle w:val="ConsPlusNormal"/>
        <w:spacing w:before="220"/>
        <w:ind w:firstLine="540"/>
        <w:jc w:val="both"/>
      </w:pPr>
      <w:hyperlink w:anchor="P52" w:history="1">
        <w:r>
          <w:rPr>
            <w:color w:val="0000FF"/>
          </w:rPr>
          <w:t>Положение</w:t>
        </w:r>
      </w:hyperlink>
      <w:r>
        <w:t xml:space="preserve"> 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согласно приложению N 1;</w:t>
      </w:r>
    </w:p>
    <w:p w:rsidR="004F58AE" w:rsidRDefault="004F58AE">
      <w:pPr>
        <w:pStyle w:val="ConsPlusNormal"/>
        <w:jc w:val="both"/>
      </w:pPr>
      <w:r>
        <w:t xml:space="preserve">(в ред. постановлений Правительства Саратовской области от 05.06.2015 </w:t>
      </w:r>
      <w:hyperlink r:id="rId12" w:history="1">
        <w:r>
          <w:rPr>
            <w:color w:val="0000FF"/>
          </w:rPr>
          <w:t>N 266-П</w:t>
        </w:r>
      </w:hyperlink>
      <w:r>
        <w:t xml:space="preserve">, от 27.04.2017 </w:t>
      </w:r>
      <w:hyperlink r:id="rId13" w:history="1">
        <w:r>
          <w:rPr>
            <w:color w:val="0000FF"/>
          </w:rPr>
          <w:t>N 209-П</w:t>
        </w:r>
      </w:hyperlink>
      <w:r>
        <w:t>)</w:t>
      </w:r>
    </w:p>
    <w:p w:rsidR="004F58AE" w:rsidRDefault="004F58AE">
      <w:pPr>
        <w:pStyle w:val="ConsPlusNormal"/>
        <w:spacing w:before="220"/>
        <w:ind w:firstLine="540"/>
        <w:jc w:val="both"/>
      </w:pPr>
      <w:r>
        <w:t xml:space="preserve">форму </w:t>
      </w:r>
      <w:hyperlink w:anchor="P110" w:history="1">
        <w:r>
          <w:rPr>
            <w:color w:val="0000FF"/>
          </w:rPr>
          <w:t>отчета</w:t>
        </w:r>
      </w:hyperlink>
      <w:r>
        <w:t xml:space="preserve"> органа местного самоуправления муниципального района области об использовании субсидии, предоставленной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согласно приложению N 2;</w:t>
      </w:r>
    </w:p>
    <w:p w:rsidR="004F58AE" w:rsidRDefault="004F58AE">
      <w:pPr>
        <w:pStyle w:val="ConsPlusNormal"/>
        <w:jc w:val="both"/>
      </w:pPr>
      <w:r>
        <w:t xml:space="preserve">(в ред. постановлений Правительства Саратовской области от 05.06.2015 </w:t>
      </w:r>
      <w:hyperlink r:id="rId14" w:history="1">
        <w:r>
          <w:rPr>
            <w:color w:val="0000FF"/>
          </w:rPr>
          <w:t>N 266-П</w:t>
        </w:r>
      </w:hyperlink>
      <w:r>
        <w:t xml:space="preserve">, от 27.04.2017 </w:t>
      </w:r>
      <w:hyperlink r:id="rId15" w:history="1">
        <w:r>
          <w:rPr>
            <w:color w:val="0000FF"/>
          </w:rPr>
          <w:t>N 209-П</w:t>
        </w:r>
      </w:hyperlink>
      <w:r>
        <w:t>)</w:t>
      </w:r>
    </w:p>
    <w:p w:rsidR="004F58AE" w:rsidRDefault="004F58AE">
      <w:pPr>
        <w:pStyle w:val="ConsPlusNormal"/>
        <w:spacing w:before="220"/>
        <w:ind w:firstLine="540"/>
        <w:jc w:val="both"/>
      </w:pPr>
      <w:r>
        <w:t xml:space="preserve">форму </w:t>
      </w:r>
      <w:hyperlink w:anchor="P261" w:history="1">
        <w:r>
          <w:rPr>
            <w:color w:val="0000FF"/>
          </w:rPr>
          <w:t>сводного отчета</w:t>
        </w:r>
      </w:hyperlink>
      <w:r>
        <w:t xml:space="preserve"> министерства молодежной политики и спорта области об использовании субсидии, предоставленной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согласно приложению N 4.</w:t>
      </w:r>
    </w:p>
    <w:p w:rsidR="004F58AE" w:rsidRDefault="004F58AE">
      <w:pPr>
        <w:pStyle w:val="ConsPlusNormal"/>
        <w:jc w:val="both"/>
      </w:pPr>
      <w:r>
        <w:t xml:space="preserve">(абзац введен </w:t>
      </w:r>
      <w:hyperlink r:id="rId16" w:history="1">
        <w:r>
          <w:rPr>
            <w:color w:val="0000FF"/>
          </w:rPr>
          <w:t>постановлением</w:t>
        </w:r>
      </w:hyperlink>
      <w:r>
        <w:t xml:space="preserve"> Правительства Саратовской области от 14.03.2018 N 125-П)</w:t>
      </w:r>
    </w:p>
    <w:p w:rsidR="004F58AE" w:rsidRDefault="004F58AE">
      <w:pPr>
        <w:pStyle w:val="ConsPlusNormal"/>
        <w:spacing w:before="220"/>
        <w:ind w:firstLine="540"/>
        <w:jc w:val="both"/>
      </w:pPr>
      <w:r>
        <w:t>2. Органам местного самоуправления муниципальных районов области, получившим субсидию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4F58AE" w:rsidRDefault="004F58AE">
      <w:pPr>
        <w:pStyle w:val="ConsPlusNormal"/>
        <w:jc w:val="both"/>
      </w:pPr>
      <w:r>
        <w:t xml:space="preserve">(в ред. постановлений Правительства Саратовской области от 05.06.2015 </w:t>
      </w:r>
      <w:hyperlink r:id="rId17" w:history="1">
        <w:r>
          <w:rPr>
            <w:color w:val="0000FF"/>
          </w:rPr>
          <w:t>N 266-П</w:t>
        </w:r>
      </w:hyperlink>
      <w:r>
        <w:t xml:space="preserve">, от 27.04.2017 </w:t>
      </w:r>
      <w:hyperlink r:id="rId18" w:history="1">
        <w:r>
          <w:rPr>
            <w:color w:val="0000FF"/>
          </w:rPr>
          <w:t>N 209-П</w:t>
        </w:r>
      </w:hyperlink>
      <w:r>
        <w:t>)</w:t>
      </w:r>
    </w:p>
    <w:p w:rsidR="004F58AE" w:rsidRDefault="004F58AE">
      <w:pPr>
        <w:pStyle w:val="ConsPlusNormal"/>
        <w:spacing w:before="220"/>
        <w:ind w:firstLine="540"/>
        <w:jc w:val="both"/>
      </w:pPr>
      <w:r>
        <w:lastRenderedPageBreak/>
        <w:t>представить в министерство молодежной политики и спорта области не позднее 15 января 2019 года копии актов сдачи-приемки комплектов искусственных покрытий для футбольных полей для спортивных детско-юношеских школ области, включая их доставку, укладку и сертификацию полей, подписанных поставщиком и получателем покрытия для профильной спортивной школы, указанной в заявке о перечислении субсидии;</w:t>
      </w:r>
    </w:p>
    <w:p w:rsidR="004F58AE" w:rsidRDefault="004F58AE">
      <w:pPr>
        <w:pStyle w:val="ConsPlusNormal"/>
        <w:jc w:val="both"/>
      </w:pPr>
      <w:r>
        <w:t xml:space="preserve">(в ред. постановлений Правительства Саратовской области от 05.06.2015 </w:t>
      </w:r>
      <w:hyperlink r:id="rId19" w:history="1">
        <w:r>
          <w:rPr>
            <w:color w:val="0000FF"/>
          </w:rPr>
          <w:t>N 266-П</w:t>
        </w:r>
      </w:hyperlink>
      <w:r>
        <w:t xml:space="preserve">, от 27.04.2017 </w:t>
      </w:r>
      <w:hyperlink r:id="rId20" w:history="1">
        <w:r>
          <w:rPr>
            <w:color w:val="0000FF"/>
          </w:rPr>
          <w:t>N 209-П</w:t>
        </w:r>
      </w:hyperlink>
      <w:r>
        <w:t xml:space="preserve">, от 04.12.2017 </w:t>
      </w:r>
      <w:hyperlink r:id="rId21" w:history="1">
        <w:r>
          <w:rPr>
            <w:color w:val="0000FF"/>
          </w:rPr>
          <w:t>N 618-П</w:t>
        </w:r>
      </w:hyperlink>
      <w:r>
        <w:t xml:space="preserve">, от 14.03.2018 </w:t>
      </w:r>
      <w:hyperlink r:id="rId22" w:history="1">
        <w:r>
          <w:rPr>
            <w:color w:val="0000FF"/>
          </w:rPr>
          <w:t>N 125-П</w:t>
        </w:r>
      </w:hyperlink>
      <w:r>
        <w:t>)</w:t>
      </w:r>
    </w:p>
    <w:p w:rsidR="004F58AE" w:rsidRDefault="004F58AE">
      <w:pPr>
        <w:pStyle w:val="ConsPlusNormal"/>
        <w:spacing w:before="220"/>
        <w:ind w:firstLine="540"/>
        <w:jc w:val="both"/>
      </w:pPr>
      <w:r>
        <w:t xml:space="preserve">представлять в министерство молодежной политики и спорта области ежеквартально, не позднее 10 числа, следующего за отчетным кварталом, отчет по формам согласно </w:t>
      </w:r>
      <w:hyperlink w:anchor="P110" w:history="1">
        <w:r>
          <w:rPr>
            <w:color w:val="0000FF"/>
          </w:rPr>
          <w:t>приложениям N 2</w:t>
        </w:r>
      </w:hyperlink>
      <w:r>
        <w:t xml:space="preserve">, </w:t>
      </w:r>
      <w:hyperlink w:anchor="P180" w:history="1">
        <w:r>
          <w:rPr>
            <w:color w:val="0000FF"/>
          </w:rPr>
          <w:t>3</w:t>
        </w:r>
      </w:hyperlink>
      <w:r>
        <w:t>;</w:t>
      </w:r>
    </w:p>
    <w:p w:rsidR="004F58AE" w:rsidRDefault="004F58AE">
      <w:pPr>
        <w:pStyle w:val="ConsPlusNormal"/>
        <w:jc w:val="both"/>
      </w:pPr>
      <w:r>
        <w:t xml:space="preserve">(в ред. постановлений Правительства Саратовской области от 27.04.2017 </w:t>
      </w:r>
      <w:hyperlink r:id="rId23" w:history="1">
        <w:r>
          <w:rPr>
            <w:color w:val="0000FF"/>
          </w:rPr>
          <w:t>N 209-П</w:t>
        </w:r>
      </w:hyperlink>
      <w:r>
        <w:t xml:space="preserve">, от 04.12.2017 </w:t>
      </w:r>
      <w:hyperlink r:id="rId24" w:history="1">
        <w:r>
          <w:rPr>
            <w:color w:val="0000FF"/>
          </w:rPr>
          <w:t>N 618-П</w:t>
        </w:r>
      </w:hyperlink>
      <w:r>
        <w:t>)</w:t>
      </w:r>
    </w:p>
    <w:p w:rsidR="004F58AE" w:rsidRDefault="004F58AE">
      <w:pPr>
        <w:pStyle w:val="ConsPlusNormal"/>
        <w:spacing w:before="220"/>
        <w:ind w:firstLine="540"/>
        <w:jc w:val="both"/>
      </w:pPr>
      <w:r>
        <w:t>обеспечить целевое использование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4F58AE" w:rsidRDefault="004F58AE">
      <w:pPr>
        <w:pStyle w:val="ConsPlusNormal"/>
        <w:jc w:val="both"/>
      </w:pPr>
      <w:r>
        <w:t xml:space="preserve">(в ред. постановлений Правительства Саратовской области от 05.06.2015 </w:t>
      </w:r>
      <w:hyperlink r:id="rId25" w:history="1">
        <w:r>
          <w:rPr>
            <w:color w:val="0000FF"/>
          </w:rPr>
          <w:t>N 266-П</w:t>
        </w:r>
      </w:hyperlink>
      <w:r>
        <w:t xml:space="preserve">, от 27.04.2017 </w:t>
      </w:r>
      <w:hyperlink r:id="rId26" w:history="1">
        <w:r>
          <w:rPr>
            <w:color w:val="0000FF"/>
          </w:rPr>
          <w:t>N 209-П</w:t>
        </w:r>
      </w:hyperlink>
      <w:r>
        <w:t>)</w:t>
      </w:r>
    </w:p>
    <w:p w:rsidR="004F58AE" w:rsidRDefault="004F58AE">
      <w:pPr>
        <w:pStyle w:val="ConsPlusNormal"/>
        <w:spacing w:before="220"/>
        <w:ind w:firstLine="540"/>
        <w:jc w:val="both"/>
      </w:pPr>
      <w:r>
        <w:t xml:space="preserve">2.1. Министерству молодежной политики и спорта области представлять в министерство финансов области ежеквартально до 15 числа месяца, следующего за отчетным кварталом, </w:t>
      </w:r>
      <w:hyperlink w:anchor="P261" w:history="1">
        <w:r>
          <w:rPr>
            <w:color w:val="0000FF"/>
          </w:rPr>
          <w:t>отчет</w:t>
        </w:r>
      </w:hyperlink>
      <w:r>
        <w:t xml:space="preserve"> по форме согласно приложению N 4.</w:t>
      </w:r>
    </w:p>
    <w:p w:rsidR="004F58AE" w:rsidRDefault="004F58AE">
      <w:pPr>
        <w:pStyle w:val="ConsPlusNormal"/>
        <w:jc w:val="both"/>
      </w:pPr>
      <w:r>
        <w:t xml:space="preserve">(п. 2.1 введен </w:t>
      </w:r>
      <w:hyperlink r:id="rId27" w:history="1">
        <w:r>
          <w:rPr>
            <w:color w:val="0000FF"/>
          </w:rPr>
          <w:t>постановлением</w:t>
        </w:r>
      </w:hyperlink>
      <w:r>
        <w:t xml:space="preserve"> Правительства Саратовской области от 14.03.2018 N 125-П)</w:t>
      </w:r>
    </w:p>
    <w:p w:rsidR="004F58AE" w:rsidRDefault="004F58AE">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области Гречушкину В.В.</w:t>
      </w:r>
    </w:p>
    <w:p w:rsidR="004F58AE" w:rsidRDefault="004F58AE">
      <w:pPr>
        <w:pStyle w:val="ConsPlusNormal"/>
        <w:jc w:val="both"/>
      </w:pPr>
      <w:r>
        <w:t xml:space="preserve">(п. 3 в ред. </w:t>
      </w:r>
      <w:hyperlink r:id="rId28" w:history="1">
        <w:r>
          <w:rPr>
            <w:color w:val="0000FF"/>
          </w:rPr>
          <w:t>постановления</w:t>
        </w:r>
      </w:hyperlink>
      <w:r>
        <w:t xml:space="preserve"> Правительства Саратовской области от 04.12.2017 N 618-П)</w:t>
      </w:r>
    </w:p>
    <w:p w:rsidR="004F58AE" w:rsidRDefault="004F58AE">
      <w:pPr>
        <w:pStyle w:val="ConsPlusNormal"/>
        <w:spacing w:before="220"/>
        <w:ind w:firstLine="540"/>
        <w:jc w:val="both"/>
      </w:pPr>
      <w:r>
        <w:t>4. Настоящее постановление вступает в силу со дня его подписания.</w:t>
      </w:r>
    </w:p>
    <w:p w:rsidR="004F58AE" w:rsidRDefault="004F58AE">
      <w:pPr>
        <w:pStyle w:val="ConsPlusNormal"/>
        <w:jc w:val="both"/>
      </w:pPr>
    </w:p>
    <w:p w:rsidR="004F58AE" w:rsidRDefault="004F58AE">
      <w:pPr>
        <w:pStyle w:val="ConsPlusNormal"/>
        <w:jc w:val="right"/>
      </w:pPr>
      <w:r>
        <w:t>Губернатор</w:t>
      </w:r>
    </w:p>
    <w:p w:rsidR="004F58AE" w:rsidRDefault="004F58AE">
      <w:pPr>
        <w:pStyle w:val="ConsPlusNormal"/>
        <w:jc w:val="right"/>
      </w:pPr>
      <w:r>
        <w:t>Саратовской области</w:t>
      </w:r>
    </w:p>
    <w:p w:rsidR="004F58AE" w:rsidRDefault="004F58AE">
      <w:pPr>
        <w:pStyle w:val="ConsPlusNormal"/>
        <w:jc w:val="right"/>
      </w:pPr>
      <w:r>
        <w:t>В.В.РАДАЕВ</w:t>
      </w: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right"/>
        <w:outlineLvl w:val="0"/>
      </w:pPr>
      <w:r>
        <w:t>Приложение N 1</w:t>
      </w:r>
    </w:p>
    <w:p w:rsidR="004F58AE" w:rsidRDefault="004F58AE">
      <w:pPr>
        <w:pStyle w:val="ConsPlusNormal"/>
        <w:jc w:val="right"/>
      </w:pPr>
      <w:r>
        <w:t>к постановлению</w:t>
      </w:r>
    </w:p>
    <w:p w:rsidR="004F58AE" w:rsidRDefault="004F58AE">
      <w:pPr>
        <w:pStyle w:val="ConsPlusNormal"/>
        <w:jc w:val="right"/>
      </w:pPr>
      <w:r>
        <w:t>Правительства Саратовской области</w:t>
      </w:r>
    </w:p>
    <w:p w:rsidR="004F58AE" w:rsidRDefault="004F58AE">
      <w:pPr>
        <w:pStyle w:val="ConsPlusNormal"/>
        <w:jc w:val="right"/>
      </w:pPr>
      <w:r>
        <w:t>от 1 сентября 2014 г. N 498-П</w:t>
      </w:r>
    </w:p>
    <w:p w:rsidR="004F58AE" w:rsidRDefault="004F58AE">
      <w:pPr>
        <w:pStyle w:val="ConsPlusNormal"/>
        <w:jc w:val="both"/>
      </w:pPr>
    </w:p>
    <w:p w:rsidR="004F58AE" w:rsidRDefault="004F58AE">
      <w:pPr>
        <w:pStyle w:val="ConsPlusTitle"/>
        <w:jc w:val="center"/>
      </w:pPr>
      <w:bookmarkStart w:id="0" w:name="P52"/>
      <w:bookmarkEnd w:id="0"/>
      <w:r>
        <w:t>ПОЛОЖЕНИЕ</w:t>
      </w:r>
    </w:p>
    <w:p w:rsidR="004F58AE" w:rsidRDefault="004F58AE">
      <w:pPr>
        <w:pStyle w:val="ConsPlusTitle"/>
        <w:jc w:val="center"/>
      </w:pPr>
      <w:r>
        <w:t>О ПОРЯДКЕ ПРЕДОСТАВЛЕНИЯ И УСЛОВИЯХ РАСХОДОВАНИЯ</w:t>
      </w:r>
    </w:p>
    <w:p w:rsidR="004F58AE" w:rsidRDefault="004F58AE">
      <w:pPr>
        <w:pStyle w:val="ConsPlusTitle"/>
        <w:jc w:val="center"/>
      </w:pPr>
      <w:r>
        <w:t>ИЗ ОБЛАСТНОГО БЮДЖЕТА СУБСИДИИ БЮДЖЕТАМ МУНИЦИПАЛЬНЫХ</w:t>
      </w:r>
    </w:p>
    <w:p w:rsidR="004F58AE" w:rsidRDefault="004F58AE">
      <w:pPr>
        <w:pStyle w:val="ConsPlusTitle"/>
        <w:jc w:val="center"/>
      </w:pPr>
      <w:r>
        <w:t>РАЙОНОВ ОБЛАСТИ НА ЗАКУПКУ КОМПЛЕКТОВ ИСКУССТВЕННЫХ ПОКРЫТИЙ</w:t>
      </w:r>
    </w:p>
    <w:p w:rsidR="004F58AE" w:rsidRDefault="004F58AE">
      <w:pPr>
        <w:pStyle w:val="ConsPlusTitle"/>
        <w:jc w:val="center"/>
      </w:pPr>
      <w:r>
        <w:t>ДЛЯ ФУТБОЛЬНЫХ ПОЛЕЙ ДЛЯ СПОРТИВНЫХ ДЕТСКО-ЮНОШЕСКИХ ШКОЛ</w:t>
      </w:r>
    </w:p>
    <w:p w:rsidR="004F58AE" w:rsidRDefault="004F58AE">
      <w:pPr>
        <w:pStyle w:val="ConsPlusTitle"/>
        <w:jc w:val="center"/>
      </w:pPr>
      <w:r>
        <w:t>ОБЛАСТИ, ВКЛЮЧАЯ ИХ ДОСТАВКУ И СЕРТИФИКАЦИЮ ПОЛЕЙ</w:t>
      </w:r>
    </w:p>
    <w:p w:rsidR="004F58AE" w:rsidRDefault="004F58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58AE">
        <w:trPr>
          <w:jc w:val="center"/>
        </w:trPr>
        <w:tc>
          <w:tcPr>
            <w:tcW w:w="9294" w:type="dxa"/>
            <w:tcBorders>
              <w:top w:val="nil"/>
              <w:left w:val="single" w:sz="24" w:space="0" w:color="CED3F1"/>
              <w:bottom w:val="nil"/>
              <w:right w:val="single" w:sz="24" w:space="0" w:color="F4F3F8"/>
            </w:tcBorders>
            <w:shd w:val="clear" w:color="auto" w:fill="F4F3F8"/>
          </w:tcPr>
          <w:p w:rsidR="004F58AE" w:rsidRDefault="004F58AE">
            <w:pPr>
              <w:pStyle w:val="ConsPlusNormal"/>
              <w:jc w:val="center"/>
            </w:pPr>
            <w:r>
              <w:rPr>
                <w:color w:val="392C69"/>
              </w:rPr>
              <w:t>Список изменяющих документов</w:t>
            </w:r>
          </w:p>
          <w:p w:rsidR="004F58AE" w:rsidRDefault="004F58AE">
            <w:pPr>
              <w:pStyle w:val="ConsPlusNormal"/>
              <w:jc w:val="center"/>
            </w:pPr>
            <w:r>
              <w:rPr>
                <w:color w:val="392C69"/>
              </w:rPr>
              <w:t>(в ред. постановлений Правительства Саратовской области</w:t>
            </w:r>
          </w:p>
          <w:p w:rsidR="004F58AE" w:rsidRDefault="004F58AE">
            <w:pPr>
              <w:pStyle w:val="ConsPlusNormal"/>
              <w:jc w:val="center"/>
            </w:pPr>
            <w:r>
              <w:rPr>
                <w:color w:val="392C69"/>
              </w:rPr>
              <w:t xml:space="preserve">от 05.06.2015 </w:t>
            </w:r>
            <w:hyperlink r:id="rId29" w:history="1">
              <w:r>
                <w:rPr>
                  <w:color w:val="0000FF"/>
                </w:rPr>
                <w:t>N 266-П</w:t>
              </w:r>
            </w:hyperlink>
            <w:r>
              <w:rPr>
                <w:color w:val="392C69"/>
              </w:rPr>
              <w:t xml:space="preserve">, от 27.04.2017 </w:t>
            </w:r>
            <w:hyperlink r:id="rId30" w:history="1">
              <w:r>
                <w:rPr>
                  <w:color w:val="0000FF"/>
                </w:rPr>
                <w:t>N 209-П</w:t>
              </w:r>
            </w:hyperlink>
            <w:r>
              <w:rPr>
                <w:color w:val="392C69"/>
              </w:rPr>
              <w:t xml:space="preserve">, от 04.12.2017 </w:t>
            </w:r>
            <w:hyperlink r:id="rId31" w:history="1">
              <w:r>
                <w:rPr>
                  <w:color w:val="0000FF"/>
                </w:rPr>
                <w:t>N 618-П</w:t>
              </w:r>
            </w:hyperlink>
            <w:r>
              <w:rPr>
                <w:color w:val="392C69"/>
              </w:rPr>
              <w:t>,</w:t>
            </w:r>
          </w:p>
          <w:p w:rsidR="004F58AE" w:rsidRDefault="004F58AE">
            <w:pPr>
              <w:pStyle w:val="ConsPlusNormal"/>
              <w:jc w:val="center"/>
            </w:pPr>
            <w:r>
              <w:rPr>
                <w:color w:val="392C69"/>
              </w:rPr>
              <w:lastRenderedPageBreak/>
              <w:t xml:space="preserve">от 14.03.2018 </w:t>
            </w:r>
            <w:hyperlink r:id="rId32" w:history="1">
              <w:r>
                <w:rPr>
                  <w:color w:val="0000FF"/>
                </w:rPr>
                <w:t>N 125-П</w:t>
              </w:r>
            </w:hyperlink>
            <w:r>
              <w:rPr>
                <w:color w:val="392C69"/>
              </w:rPr>
              <w:t>)</w:t>
            </w:r>
          </w:p>
        </w:tc>
      </w:tr>
    </w:tbl>
    <w:p w:rsidR="004F58AE" w:rsidRDefault="004F58AE">
      <w:pPr>
        <w:pStyle w:val="ConsPlusNormal"/>
        <w:jc w:val="both"/>
      </w:pPr>
    </w:p>
    <w:p w:rsidR="004F58AE" w:rsidRDefault="004F58AE">
      <w:pPr>
        <w:pStyle w:val="ConsPlusNormal"/>
        <w:ind w:firstLine="540"/>
        <w:jc w:val="both"/>
      </w:pPr>
      <w:bookmarkStart w:id="1" w:name="P63"/>
      <w:bookmarkEnd w:id="1"/>
      <w:r>
        <w:t>1. Настоящее Положение определяет порядок предоставления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(далее - субсидия) и условия ее расходования. Закупка включает доставку, укладку и сертификацию полей.</w:t>
      </w:r>
    </w:p>
    <w:p w:rsidR="004F58AE" w:rsidRDefault="004F58AE">
      <w:pPr>
        <w:pStyle w:val="ConsPlusNormal"/>
        <w:jc w:val="both"/>
      </w:pPr>
      <w:r>
        <w:t xml:space="preserve">(в ред. постановлений Правительства Саратовской области от 05.06.2015 </w:t>
      </w:r>
      <w:hyperlink r:id="rId33" w:history="1">
        <w:r>
          <w:rPr>
            <w:color w:val="0000FF"/>
          </w:rPr>
          <w:t>N 266-П</w:t>
        </w:r>
      </w:hyperlink>
      <w:r>
        <w:t xml:space="preserve">, от 27.04.2017 </w:t>
      </w:r>
      <w:hyperlink r:id="rId34" w:history="1">
        <w:r>
          <w:rPr>
            <w:color w:val="0000FF"/>
          </w:rPr>
          <w:t>N 209-П</w:t>
        </w:r>
      </w:hyperlink>
      <w:r>
        <w:t xml:space="preserve">, от 14.03.2018 </w:t>
      </w:r>
      <w:hyperlink r:id="rId35" w:history="1">
        <w:r>
          <w:rPr>
            <w:color w:val="0000FF"/>
          </w:rPr>
          <w:t>N 125-П</w:t>
        </w:r>
      </w:hyperlink>
      <w:r>
        <w:t>)</w:t>
      </w:r>
    </w:p>
    <w:p w:rsidR="004F58AE" w:rsidRDefault="004F58AE">
      <w:pPr>
        <w:pStyle w:val="ConsPlusNormal"/>
        <w:spacing w:before="220"/>
        <w:ind w:firstLine="540"/>
        <w:jc w:val="both"/>
      </w:pPr>
      <w:r>
        <w:t xml:space="preserve">2. 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на цели, указанные в </w:t>
      </w:r>
      <w:hyperlink w:anchor="P63" w:history="1">
        <w:r>
          <w:rPr>
            <w:color w:val="0000FF"/>
          </w:rPr>
          <w:t>пункте 1</w:t>
        </w:r>
      </w:hyperlink>
      <w:r>
        <w:t xml:space="preserve"> настоящего Положения, на основании соглашения, заключенного между Министерством и администрациями муниципальных районов области.</w:t>
      </w:r>
    </w:p>
    <w:p w:rsidR="004F58AE" w:rsidRDefault="004F58AE">
      <w:pPr>
        <w:pStyle w:val="ConsPlusNormal"/>
        <w:jc w:val="both"/>
      </w:pPr>
      <w:r>
        <w:t xml:space="preserve">(в ред. постановлений Правительства Саратовской области от 27.04.2017 </w:t>
      </w:r>
      <w:hyperlink r:id="rId36" w:history="1">
        <w:r>
          <w:rPr>
            <w:color w:val="0000FF"/>
          </w:rPr>
          <w:t>N 209-П</w:t>
        </w:r>
      </w:hyperlink>
      <w:r>
        <w:t xml:space="preserve">, от 04.12.2017 </w:t>
      </w:r>
      <w:hyperlink r:id="rId37" w:history="1">
        <w:r>
          <w:rPr>
            <w:color w:val="0000FF"/>
          </w:rPr>
          <w:t>N 618-П</w:t>
        </w:r>
      </w:hyperlink>
      <w:r>
        <w:t>)</w:t>
      </w:r>
    </w:p>
    <w:p w:rsidR="004F58AE" w:rsidRDefault="004F58AE">
      <w:pPr>
        <w:pStyle w:val="ConsPlusNormal"/>
        <w:spacing w:before="220"/>
        <w:ind w:firstLine="540"/>
        <w:jc w:val="both"/>
      </w:pPr>
      <w:r>
        <w:t>3. Перечисление субсидии в бюджеты муниципальных районов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4F58AE" w:rsidRDefault="004F58AE">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местным бюджетам осуществляется в порядке, установленном Федеральным казначейством.</w:t>
      </w:r>
    </w:p>
    <w:p w:rsidR="004F58AE" w:rsidRDefault="004F58AE">
      <w:pPr>
        <w:pStyle w:val="ConsPlusNormal"/>
        <w:jc w:val="both"/>
      </w:pPr>
      <w:r>
        <w:t xml:space="preserve">(п. 3 в ред. </w:t>
      </w:r>
      <w:hyperlink r:id="rId38" w:history="1">
        <w:r>
          <w:rPr>
            <w:color w:val="0000FF"/>
          </w:rPr>
          <w:t>постановления</w:t>
        </w:r>
      </w:hyperlink>
      <w:r>
        <w:t xml:space="preserve"> Правительства Саратовской области от 27.04.2017 N 209-П)</w:t>
      </w:r>
    </w:p>
    <w:p w:rsidR="004F58AE" w:rsidRDefault="004F58AE">
      <w:pPr>
        <w:pStyle w:val="ConsPlusNormal"/>
        <w:spacing w:before="220"/>
        <w:ind w:firstLine="540"/>
        <w:jc w:val="both"/>
      </w:pPr>
      <w:r>
        <w:t>4. Предоставление субсидии бюджетам муниципальных районов области производится единовременно на основании соглашения о предоставлении субсидии в течение 30 рабочих дней со дня открытия на соответствующем лицевом счете в УФК предельных объемов денежных обязательств, источником финансового обеспечения которых является соответствующая субсидия из федерального бюджета.</w:t>
      </w:r>
    </w:p>
    <w:p w:rsidR="004F58AE" w:rsidRDefault="004F58AE">
      <w:pPr>
        <w:pStyle w:val="ConsPlusNormal"/>
        <w:jc w:val="both"/>
      </w:pPr>
      <w:r>
        <w:t xml:space="preserve">(в ред. постановлений Правительства Саратовской области от 27.04.2017 </w:t>
      </w:r>
      <w:hyperlink r:id="rId39" w:history="1">
        <w:r>
          <w:rPr>
            <w:color w:val="0000FF"/>
          </w:rPr>
          <w:t>N 209-П</w:t>
        </w:r>
      </w:hyperlink>
      <w:r>
        <w:t xml:space="preserve">, от 14.03.2018 </w:t>
      </w:r>
      <w:hyperlink r:id="rId40" w:history="1">
        <w:r>
          <w:rPr>
            <w:color w:val="0000FF"/>
          </w:rPr>
          <w:t>N 125-П</w:t>
        </w:r>
      </w:hyperlink>
      <w:r>
        <w:t>)</w:t>
      </w:r>
    </w:p>
    <w:p w:rsidR="004F58AE" w:rsidRDefault="004F58AE">
      <w:pPr>
        <w:pStyle w:val="ConsPlusNormal"/>
        <w:spacing w:before="220"/>
        <w:ind w:firstLine="540"/>
        <w:jc w:val="both"/>
      </w:pPr>
      <w:r>
        <w:t>5. Субсидия расходуется при условии осуществления за счет средств бюджета муниципального района области кассовых выплат в соответствии с правовым актом, устанавливающим расходные обязательства муниципального района области либо при условии осуществления на территории муниципального района расходов за счет внебюджетных средств на закупку комплектов искусственных покрытий для футбольных полей для спортивных детско-юношеских школ области, включая их доставку, укладку и сертификацию полей.</w:t>
      </w:r>
    </w:p>
    <w:p w:rsidR="004F58AE" w:rsidRDefault="004F58AE">
      <w:pPr>
        <w:pStyle w:val="ConsPlusNormal"/>
        <w:jc w:val="both"/>
      </w:pPr>
      <w:r>
        <w:t xml:space="preserve">(в ред. постановлений Правительства Саратовской области от 05.06.2015 </w:t>
      </w:r>
      <w:hyperlink r:id="rId41" w:history="1">
        <w:r>
          <w:rPr>
            <w:color w:val="0000FF"/>
          </w:rPr>
          <w:t>N 266-П</w:t>
        </w:r>
      </w:hyperlink>
      <w:r>
        <w:t xml:space="preserve">, от 27.04.2017 </w:t>
      </w:r>
      <w:hyperlink r:id="rId42" w:history="1">
        <w:r>
          <w:rPr>
            <w:color w:val="0000FF"/>
          </w:rPr>
          <w:t>N 209-П</w:t>
        </w:r>
      </w:hyperlink>
      <w:r>
        <w:t xml:space="preserve">, от 14.03.2018 </w:t>
      </w:r>
      <w:hyperlink r:id="rId43" w:history="1">
        <w:r>
          <w:rPr>
            <w:color w:val="0000FF"/>
          </w:rPr>
          <w:t>N 125-П</w:t>
        </w:r>
      </w:hyperlink>
      <w:r>
        <w:t>)</w:t>
      </w:r>
    </w:p>
    <w:p w:rsidR="004F58AE" w:rsidRDefault="004F58AE">
      <w:pPr>
        <w:pStyle w:val="ConsPlusNormal"/>
        <w:spacing w:before="220"/>
        <w:ind w:firstLine="540"/>
        <w:jc w:val="both"/>
      </w:pPr>
      <w:r>
        <w:t>6. Субсидия носит целевой характер и не подлежит направлению на иные цели.</w:t>
      </w:r>
    </w:p>
    <w:p w:rsidR="004F58AE" w:rsidRDefault="004F58AE">
      <w:pPr>
        <w:pStyle w:val="ConsPlusNormal"/>
        <w:spacing w:before="220"/>
        <w:ind w:firstLine="540"/>
        <w:jc w:val="both"/>
      </w:pPr>
      <w:r>
        <w:t>7.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4F58AE" w:rsidRDefault="004F58AE">
      <w:pPr>
        <w:pStyle w:val="ConsPlusNormal"/>
        <w:spacing w:before="220"/>
        <w:ind w:firstLine="540"/>
        <w:jc w:val="both"/>
      </w:pPr>
      <w:r>
        <w:t xml:space="preserve">8. Неиспользованные по состоянию на 1 января 2019 года остатки субсидии, находящиеся на единых счетах местных бюджетов и счетах для учета субсидий на иные цели муниципальных </w:t>
      </w:r>
      <w:r>
        <w:lastRenderedPageBreak/>
        <w:t>бюджетных и автономных учреждений, подлежат возврату в доход областного бюджета в течение первых 15 рабочих дней 2018 года.</w:t>
      </w:r>
    </w:p>
    <w:p w:rsidR="004F58AE" w:rsidRDefault="004F58AE">
      <w:pPr>
        <w:pStyle w:val="ConsPlusNormal"/>
        <w:jc w:val="both"/>
      </w:pPr>
      <w:r>
        <w:t xml:space="preserve">(в ред. </w:t>
      </w:r>
      <w:hyperlink r:id="rId44" w:history="1">
        <w:r>
          <w:rPr>
            <w:color w:val="0000FF"/>
          </w:rPr>
          <w:t>постановления</w:t>
        </w:r>
      </w:hyperlink>
      <w:r>
        <w:t xml:space="preserve"> Правительства Саратовской области от 14.03.2018 N 125-П)</w:t>
      </w:r>
    </w:p>
    <w:p w:rsidR="004F58AE" w:rsidRDefault="004F58AE">
      <w:pPr>
        <w:pStyle w:val="ConsPlusNormal"/>
        <w:spacing w:before="220"/>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установленном порядке.</w:t>
      </w:r>
    </w:p>
    <w:p w:rsidR="004F58AE" w:rsidRDefault="004F58AE">
      <w:pPr>
        <w:pStyle w:val="ConsPlusNormal"/>
        <w:jc w:val="both"/>
      </w:pPr>
      <w:r>
        <w:t xml:space="preserve">(п. 8 введен </w:t>
      </w:r>
      <w:hyperlink r:id="rId45" w:history="1">
        <w:r>
          <w:rPr>
            <w:color w:val="0000FF"/>
          </w:rPr>
          <w:t>постановлением</w:t>
        </w:r>
      </w:hyperlink>
      <w:r>
        <w:t xml:space="preserve"> Правительства Саратовской области от 27.04.2017 N 209-П)</w:t>
      </w: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right"/>
        <w:outlineLvl w:val="1"/>
      </w:pPr>
      <w:r>
        <w:t>Приложение</w:t>
      </w:r>
    </w:p>
    <w:p w:rsidR="004F58AE" w:rsidRDefault="004F58AE">
      <w:pPr>
        <w:pStyle w:val="ConsPlusNormal"/>
        <w:jc w:val="right"/>
      </w:pPr>
      <w:r>
        <w:t>к Положению</w:t>
      </w:r>
    </w:p>
    <w:p w:rsidR="004F58AE" w:rsidRDefault="004F58AE">
      <w:pPr>
        <w:pStyle w:val="ConsPlusNormal"/>
        <w:jc w:val="right"/>
      </w:pPr>
      <w:r>
        <w:t>о порядке предоставления и условиях расходования</w:t>
      </w:r>
    </w:p>
    <w:p w:rsidR="004F58AE" w:rsidRDefault="004F58AE">
      <w:pPr>
        <w:pStyle w:val="ConsPlusNormal"/>
        <w:jc w:val="right"/>
      </w:pPr>
      <w:r>
        <w:t>из областного бюджета субсидии бюджетам муниципальных</w:t>
      </w:r>
    </w:p>
    <w:p w:rsidR="004F58AE" w:rsidRDefault="004F58AE">
      <w:pPr>
        <w:pStyle w:val="ConsPlusNormal"/>
        <w:jc w:val="right"/>
      </w:pPr>
      <w:r>
        <w:t>районов области на приобретение искусственного покрытия</w:t>
      </w:r>
    </w:p>
    <w:p w:rsidR="004F58AE" w:rsidRDefault="004F58AE">
      <w:pPr>
        <w:pStyle w:val="ConsPlusNormal"/>
        <w:jc w:val="right"/>
      </w:pPr>
      <w:r>
        <w:t>для футбольных полей профильных спортивных школ,</w:t>
      </w:r>
    </w:p>
    <w:p w:rsidR="004F58AE" w:rsidRDefault="004F58AE">
      <w:pPr>
        <w:pStyle w:val="ConsPlusNormal"/>
        <w:jc w:val="right"/>
      </w:pPr>
      <w:r>
        <w:t>включая его доставку и сертификацию полей</w:t>
      </w:r>
    </w:p>
    <w:p w:rsidR="004F58AE" w:rsidRDefault="004F58AE">
      <w:pPr>
        <w:pStyle w:val="ConsPlusNormal"/>
        <w:jc w:val="both"/>
      </w:pPr>
    </w:p>
    <w:p w:rsidR="004F58AE" w:rsidRDefault="004F58AE">
      <w:pPr>
        <w:pStyle w:val="ConsPlusNormal"/>
        <w:jc w:val="center"/>
      </w:pPr>
      <w:r>
        <w:t>Заявка</w:t>
      </w:r>
    </w:p>
    <w:p w:rsidR="004F58AE" w:rsidRDefault="004F58AE">
      <w:pPr>
        <w:pStyle w:val="ConsPlusNormal"/>
        <w:jc w:val="center"/>
      </w:pPr>
      <w:r>
        <w:t>на предоставление субсидии</w:t>
      </w:r>
    </w:p>
    <w:p w:rsidR="004F58AE" w:rsidRDefault="004F58AE">
      <w:pPr>
        <w:pStyle w:val="ConsPlusNormal"/>
        <w:jc w:val="both"/>
      </w:pPr>
    </w:p>
    <w:p w:rsidR="004F58AE" w:rsidRDefault="004F58AE">
      <w:pPr>
        <w:pStyle w:val="ConsPlusNormal"/>
        <w:ind w:firstLine="540"/>
        <w:jc w:val="both"/>
      </w:pPr>
      <w:r>
        <w:t xml:space="preserve">Утратила силу с 14 марта 2018 года. - </w:t>
      </w:r>
      <w:hyperlink r:id="rId46" w:history="1">
        <w:r>
          <w:rPr>
            <w:color w:val="0000FF"/>
          </w:rPr>
          <w:t>Постановление</w:t>
        </w:r>
      </w:hyperlink>
      <w:r>
        <w:t xml:space="preserve"> Правительства Саратовской области от 14.03.2018 N 125-П.</w:t>
      </w: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sectPr w:rsidR="004F58AE" w:rsidSect="00992AC8">
          <w:pgSz w:w="11906" w:h="16838"/>
          <w:pgMar w:top="1134" w:right="850" w:bottom="1134" w:left="1701" w:header="708" w:footer="708" w:gutter="0"/>
          <w:cols w:space="708"/>
          <w:docGrid w:linePitch="360"/>
        </w:sectPr>
      </w:pPr>
    </w:p>
    <w:p w:rsidR="004F58AE" w:rsidRDefault="004F58AE">
      <w:pPr>
        <w:pStyle w:val="ConsPlusNormal"/>
        <w:jc w:val="right"/>
        <w:outlineLvl w:val="0"/>
      </w:pPr>
      <w:r>
        <w:lastRenderedPageBreak/>
        <w:t>Приложение N 2</w:t>
      </w:r>
    </w:p>
    <w:p w:rsidR="004F58AE" w:rsidRDefault="004F58AE">
      <w:pPr>
        <w:pStyle w:val="ConsPlusNormal"/>
        <w:jc w:val="right"/>
      </w:pPr>
      <w:r>
        <w:t>к постановлению</w:t>
      </w:r>
    </w:p>
    <w:p w:rsidR="004F58AE" w:rsidRDefault="004F58AE">
      <w:pPr>
        <w:pStyle w:val="ConsPlusNormal"/>
        <w:jc w:val="right"/>
      </w:pPr>
      <w:r>
        <w:t>Правительства Саратовской области</w:t>
      </w:r>
    </w:p>
    <w:p w:rsidR="004F58AE" w:rsidRDefault="004F58AE">
      <w:pPr>
        <w:pStyle w:val="ConsPlusNormal"/>
        <w:jc w:val="right"/>
      </w:pPr>
      <w:r>
        <w:t>от 1 сентября 2014 г. N 498-П</w:t>
      </w:r>
    </w:p>
    <w:p w:rsidR="004F58AE" w:rsidRDefault="004F58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F58AE">
        <w:trPr>
          <w:jc w:val="center"/>
        </w:trPr>
        <w:tc>
          <w:tcPr>
            <w:tcW w:w="9294" w:type="dxa"/>
            <w:tcBorders>
              <w:top w:val="nil"/>
              <w:left w:val="single" w:sz="24" w:space="0" w:color="CED3F1"/>
              <w:bottom w:val="nil"/>
              <w:right w:val="single" w:sz="24" w:space="0" w:color="F4F3F8"/>
            </w:tcBorders>
            <w:shd w:val="clear" w:color="auto" w:fill="F4F3F8"/>
          </w:tcPr>
          <w:p w:rsidR="004F58AE" w:rsidRDefault="004F58AE">
            <w:pPr>
              <w:pStyle w:val="ConsPlusNormal"/>
              <w:jc w:val="center"/>
            </w:pPr>
            <w:r>
              <w:rPr>
                <w:color w:val="392C69"/>
              </w:rPr>
              <w:t>Список изменяющих документов</w:t>
            </w:r>
          </w:p>
          <w:p w:rsidR="004F58AE" w:rsidRDefault="004F58AE">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Саратовской области</w:t>
            </w:r>
          </w:p>
          <w:p w:rsidR="004F58AE" w:rsidRDefault="004F58AE">
            <w:pPr>
              <w:pStyle w:val="ConsPlusNormal"/>
              <w:jc w:val="center"/>
            </w:pPr>
            <w:r>
              <w:rPr>
                <w:color w:val="392C69"/>
              </w:rPr>
              <w:t>от 14.03.2018 N 125-П)</w:t>
            </w:r>
          </w:p>
        </w:tc>
      </w:tr>
    </w:tbl>
    <w:p w:rsidR="004F58AE" w:rsidRDefault="004F58AE">
      <w:pPr>
        <w:pStyle w:val="ConsPlusNormal"/>
        <w:jc w:val="both"/>
      </w:pPr>
    </w:p>
    <w:p w:rsidR="004F58AE" w:rsidRDefault="004F58AE">
      <w:pPr>
        <w:pStyle w:val="ConsPlusNonformat"/>
        <w:jc w:val="both"/>
      </w:pPr>
      <w:bookmarkStart w:id="2" w:name="P110"/>
      <w:bookmarkEnd w:id="2"/>
      <w:r>
        <w:t xml:space="preserve">                                   Отчет</w:t>
      </w:r>
    </w:p>
    <w:p w:rsidR="004F58AE" w:rsidRDefault="004F58AE">
      <w:pPr>
        <w:pStyle w:val="ConsPlusNonformat"/>
        <w:jc w:val="both"/>
      </w:pPr>
      <w:r>
        <w:t>___________________________________________________________________________</w:t>
      </w:r>
    </w:p>
    <w:p w:rsidR="004F58AE" w:rsidRDefault="004F58AE">
      <w:pPr>
        <w:pStyle w:val="ConsPlusNonformat"/>
        <w:jc w:val="both"/>
      </w:pPr>
      <w:r>
        <w:t xml:space="preserve">               (наименование органа местного самоуправления)</w:t>
      </w:r>
    </w:p>
    <w:p w:rsidR="004F58AE" w:rsidRDefault="004F58AE">
      <w:pPr>
        <w:pStyle w:val="ConsPlusNonformat"/>
        <w:jc w:val="both"/>
      </w:pPr>
      <w:r>
        <w:t>об использовании субсидии, предоставленной из областного бюджета на закупку</w:t>
      </w:r>
    </w:p>
    <w:p w:rsidR="004F58AE" w:rsidRDefault="004F58AE">
      <w:pPr>
        <w:pStyle w:val="ConsPlusNonformat"/>
        <w:jc w:val="both"/>
      </w:pPr>
      <w:r>
        <w:t xml:space="preserve">   комплектов искусственных покрытий для футбольных полей для спортивных</w:t>
      </w:r>
    </w:p>
    <w:p w:rsidR="004F58AE" w:rsidRDefault="004F58AE">
      <w:pPr>
        <w:pStyle w:val="ConsPlusNonformat"/>
        <w:jc w:val="both"/>
      </w:pPr>
      <w:r>
        <w:t xml:space="preserve">            детско-юношеских школ области, включая их доставку</w:t>
      </w:r>
    </w:p>
    <w:p w:rsidR="004F58AE" w:rsidRDefault="004F58AE">
      <w:pPr>
        <w:pStyle w:val="ConsPlusNonformat"/>
        <w:jc w:val="both"/>
      </w:pPr>
      <w:r>
        <w:t xml:space="preserve">                           и сертификацию полей</w:t>
      </w:r>
    </w:p>
    <w:p w:rsidR="004F58AE" w:rsidRDefault="004F58AE">
      <w:pPr>
        <w:pStyle w:val="ConsPlusNonformat"/>
        <w:jc w:val="both"/>
      </w:pPr>
    </w:p>
    <w:p w:rsidR="004F58AE" w:rsidRDefault="004F58AE">
      <w:pPr>
        <w:pStyle w:val="ConsPlusNonformat"/>
        <w:jc w:val="both"/>
      </w:pPr>
      <w:r>
        <w:t xml:space="preserve">                                                                   (рублей)</w:t>
      </w:r>
    </w:p>
    <w:p w:rsidR="004F58AE" w:rsidRDefault="004F58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14"/>
        <w:gridCol w:w="1559"/>
        <w:gridCol w:w="1417"/>
        <w:gridCol w:w="1276"/>
        <w:gridCol w:w="1404"/>
        <w:gridCol w:w="1289"/>
        <w:gridCol w:w="2268"/>
        <w:gridCol w:w="1814"/>
        <w:gridCol w:w="1020"/>
      </w:tblGrid>
      <w:tr w:rsidR="004F58AE">
        <w:tc>
          <w:tcPr>
            <w:tcW w:w="1191" w:type="dxa"/>
            <w:vMerge w:val="restart"/>
          </w:tcPr>
          <w:p w:rsidR="004F58AE" w:rsidRDefault="004F58AE">
            <w:pPr>
              <w:pStyle w:val="ConsPlusNormal"/>
              <w:jc w:val="center"/>
            </w:pPr>
            <w:r>
              <w:t>Наименование мероприятия</w:t>
            </w:r>
          </w:p>
        </w:tc>
        <w:tc>
          <w:tcPr>
            <w:tcW w:w="1814" w:type="dxa"/>
            <w:vMerge w:val="restart"/>
          </w:tcPr>
          <w:p w:rsidR="004F58AE" w:rsidRDefault="004F58AE">
            <w:pPr>
              <w:pStyle w:val="ConsPlusNormal"/>
              <w:jc w:val="center"/>
            </w:pPr>
            <w:r>
              <w:t>Предусмотрено бюджетных ассигнований в бюджете муниципального района на 20__ год</w:t>
            </w:r>
          </w:p>
        </w:tc>
        <w:tc>
          <w:tcPr>
            <w:tcW w:w="1559" w:type="dxa"/>
          </w:tcPr>
          <w:p w:rsidR="004F58AE" w:rsidRDefault="004F58AE">
            <w:pPr>
              <w:pStyle w:val="ConsPlusNormal"/>
              <w:jc w:val="center"/>
            </w:pPr>
            <w:r>
              <w:t>В том числе</w:t>
            </w:r>
          </w:p>
        </w:tc>
        <w:tc>
          <w:tcPr>
            <w:tcW w:w="5386" w:type="dxa"/>
            <w:gridSpan w:val="4"/>
          </w:tcPr>
          <w:p w:rsidR="004F58AE" w:rsidRDefault="004F58AE">
            <w:pPr>
              <w:pStyle w:val="ConsPlusNormal"/>
              <w:jc w:val="center"/>
            </w:pPr>
            <w:r>
              <w:t>Кассовые расходы бюджета муниципального района</w:t>
            </w:r>
          </w:p>
        </w:tc>
        <w:tc>
          <w:tcPr>
            <w:tcW w:w="2268" w:type="dxa"/>
            <w:vMerge w:val="restart"/>
          </w:tcPr>
          <w:p w:rsidR="004F58AE" w:rsidRDefault="004F58AE">
            <w:pPr>
              <w:pStyle w:val="ConsPlusNormal"/>
              <w:jc w:val="center"/>
            </w:pPr>
            <w:r>
              <w:t>Уровень софинансирования за счет средств местного бюджета (по факту, нарастающим итогом, с начала года), процентов (гр. 7 / (гр. 7 + гр. 6)</w:t>
            </w:r>
          </w:p>
        </w:tc>
        <w:tc>
          <w:tcPr>
            <w:tcW w:w="1814" w:type="dxa"/>
            <w:vMerge w:val="restart"/>
          </w:tcPr>
          <w:p w:rsidR="004F58AE" w:rsidRDefault="004F58AE">
            <w:pPr>
              <w:pStyle w:val="ConsPlusNormal"/>
              <w:jc w:val="center"/>
            </w:pPr>
            <w:r>
              <w:t>Расход за счет средств из внебюджетных источников</w:t>
            </w:r>
          </w:p>
        </w:tc>
        <w:tc>
          <w:tcPr>
            <w:tcW w:w="1020" w:type="dxa"/>
            <w:vMerge w:val="restart"/>
          </w:tcPr>
          <w:p w:rsidR="004F58AE" w:rsidRDefault="004F58AE">
            <w:pPr>
              <w:pStyle w:val="ConsPlusNormal"/>
              <w:jc w:val="center"/>
            </w:pPr>
            <w:r>
              <w:t>Всего, расходы</w:t>
            </w:r>
          </w:p>
        </w:tc>
      </w:tr>
      <w:tr w:rsidR="004F58AE">
        <w:tc>
          <w:tcPr>
            <w:tcW w:w="1191" w:type="dxa"/>
            <w:vMerge/>
          </w:tcPr>
          <w:p w:rsidR="004F58AE" w:rsidRDefault="004F58AE"/>
        </w:tc>
        <w:tc>
          <w:tcPr>
            <w:tcW w:w="1814" w:type="dxa"/>
            <w:vMerge/>
          </w:tcPr>
          <w:p w:rsidR="004F58AE" w:rsidRDefault="004F58AE"/>
        </w:tc>
        <w:tc>
          <w:tcPr>
            <w:tcW w:w="1559" w:type="dxa"/>
            <w:vMerge w:val="restart"/>
          </w:tcPr>
          <w:p w:rsidR="004F58AE" w:rsidRDefault="004F58AE">
            <w:pPr>
              <w:pStyle w:val="ConsPlusNormal"/>
              <w:jc w:val="center"/>
            </w:pPr>
            <w:r>
              <w:t>за счет субсидии из областного бюджета</w:t>
            </w:r>
          </w:p>
        </w:tc>
        <w:tc>
          <w:tcPr>
            <w:tcW w:w="2693" w:type="dxa"/>
            <w:gridSpan w:val="2"/>
          </w:tcPr>
          <w:p w:rsidR="004F58AE" w:rsidRDefault="004F58AE">
            <w:pPr>
              <w:pStyle w:val="ConsPlusNormal"/>
              <w:jc w:val="center"/>
            </w:pPr>
            <w:r>
              <w:t>за отчетный период</w:t>
            </w:r>
          </w:p>
        </w:tc>
        <w:tc>
          <w:tcPr>
            <w:tcW w:w="2693" w:type="dxa"/>
            <w:gridSpan w:val="2"/>
          </w:tcPr>
          <w:p w:rsidR="004F58AE" w:rsidRDefault="004F58AE">
            <w:pPr>
              <w:pStyle w:val="ConsPlusNormal"/>
              <w:jc w:val="center"/>
            </w:pPr>
            <w:r>
              <w:t>нарастающим итогом с начала года</w:t>
            </w:r>
          </w:p>
        </w:tc>
        <w:tc>
          <w:tcPr>
            <w:tcW w:w="2268" w:type="dxa"/>
            <w:vMerge/>
          </w:tcPr>
          <w:p w:rsidR="004F58AE" w:rsidRDefault="004F58AE"/>
        </w:tc>
        <w:tc>
          <w:tcPr>
            <w:tcW w:w="1814" w:type="dxa"/>
            <w:vMerge/>
          </w:tcPr>
          <w:p w:rsidR="004F58AE" w:rsidRDefault="004F58AE"/>
        </w:tc>
        <w:tc>
          <w:tcPr>
            <w:tcW w:w="1020" w:type="dxa"/>
            <w:vMerge/>
          </w:tcPr>
          <w:p w:rsidR="004F58AE" w:rsidRDefault="004F58AE"/>
        </w:tc>
      </w:tr>
      <w:tr w:rsidR="004F58AE">
        <w:tc>
          <w:tcPr>
            <w:tcW w:w="1191" w:type="dxa"/>
            <w:vMerge/>
          </w:tcPr>
          <w:p w:rsidR="004F58AE" w:rsidRDefault="004F58AE"/>
        </w:tc>
        <w:tc>
          <w:tcPr>
            <w:tcW w:w="1814" w:type="dxa"/>
            <w:vMerge/>
          </w:tcPr>
          <w:p w:rsidR="004F58AE" w:rsidRDefault="004F58AE"/>
        </w:tc>
        <w:tc>
          <w:tcPr>
            <w:tcW w:w="1559" w:type="dxa"/>
            <w:vMerge/>
          </w:tcPr>
          <w:p w:rsidR="004F58AE" w:rsidRDefault="004F58AE"/>
        </w:tc>
        <w:tc>
          <w:tcPr>
            <w:tcW w:w="1417" w:type="dxa"/>
          </w:tcPr>
          <w:p w:rsidR="004F58AE" w:rsidRDefault="004F58AE">
            <w:pPr>
              <w:pStyle w:val="ConsPlusNormal"/>
              <w:jc w:val="center"/>
            </w:pPr>
            <w:r>
              <w:t>за счет субсидии из областного бюджета</w:t>
            </w:r>
          </w:p>
        </w:tc>
        <w:tc>
          <w:tcPr>
            <w:tcW w:w="1276" w:type="dxa"/>
          </w:tcPr>
          <w:p w:rsidR="004F58AE" w:rsidRDefault="004F58AE">
            <w:pPr>
              <w:pStyle w:val="ConsPlusNormal"/>
              <w:jc w:val="center"/>
            </w:pPr>
            <w:r>
              <w:t>за счет средств бюджета муниципального района</w:t>
            </w:r>
          </w:p>
        </w:tc>
        <w:tc>
          <w:tcPr>
            <w:tcW w:w="1404" w:type="dxa"/>
          </w:tcPr>
          <w:p w:rsidR="004F58AE" w:rsidRDefault="004F58AE">
            <w:pPr>
              <w:pStyle w:val="ConsPlusNormal"/>
              <w:jc w:val="center"/>
            </w:pPr>
            <w:r>
              <w:t>за счет субсидии из областного бюджета</w:t>
            </w:r>
          </w:p>
        </w:tc>
        <w:tc>
          <w:tcPr>
            <w:tcW w:w="1289" w:type="dxa"/>
          </w:tcPr>
          <w:p w:rsidR="004F58AE" w:rsidRDefault="004F58AE">
            <w:pPr>
              <w:pStyle w:val="ConsPlusNormal"/>
              <w:jc w:val="center"/>
            </w:pPr>
            <w:r>
              <w:t>за счет средств бюджета муниципального района</w:t>
            </w:r>
          </w:p>
        </w:tc>
        <w:tc>
          <w:tcPr>
            <w:tcW w:w="2268" w:type="dxa"/>
            <w:vMerge/>
          </w:tcPr>
          <w:p w:rsidR="004F58AE" w:rsidRDefault="004F58AE"/>
        </w:tc>
        <w:tc>
          <w:tcPr>
            <w:tcW w:w="1814" w:type="dxa"/>
            <w:vMerge/>
          </w:tcPr>
          <w:p w:rsidR="004F58AE" w:rsidRDefault="004F58AE"/>
        </w:tc>
        <w:tc>
          <w:tcPr>
            <w:tcW w:w="1020" w:type="dxa"/>
            <w:vMerge/>
          </w:tcPr>
          <w:p w:rsidR="004F58AE" w:rsidRDefault="004F58AE"/>
        </w:tc>
      </w:tr>
      <w:tr w:rsidR="004F58AE">
        <w:tc>
          <w:tcPr>
            <w:tcW w:w="1191" w:type="dxa"/>
          </w:tcPr>
          <w:p w:rsidR="004F58AE" w:rsidRDefault="004F58AE">
            <w:pPr>
              <w:pStyle w:val="ConsPlusNormal"/>
              <w:jc w:val="center"/>
            </w:pPr>
            <w:r>
              <w:t>1</w:t>
            </w:r>
          </w:p>
        </w:tc>
        <w:tc>
          <w:tcPr>
            <w:tcW w:w="1814" w:type="dxa"/>
          </w:tcPr>
          <w:p w:rsidR="004F58AE" w:rsidRDefault="004F58AE">
            <w:pPr>
              <w:pStyle w:val="ConsPlusNormal"/>
              <w:jc w:val="center"/>
            </w:pPr>
            <w:r>
              <w:t>2</w:t>
            </w:r>
          </w:p>
        </w:tc>
        <w:tc>
          <w:tcPr>
            <w:tcW w:w="1559" w:type="dxa"/>
          </w:tcPr>
          <w:p w:rsidR="004F58AE" w:rsidRDefault="004F58AE">
            <w:pPr>
              <w:pStyle w:val="ConsPlusNormal"/>
              <w:jc w:val="center"/>
            </w:pPr>
            <w:r>
              <w:t>3</w:t>
            </w:r>
          </w:p>
        </w:tc>
        <w:tc>
          <w:tcPr>
            <w:tcW w:w="1417" w:type="dxa"/>
          </w:tcPr>
          <w:p w:rsidR="004F58AE" w:rsidRDefault="004F58AE">
            <w:pPr>
              <w:pStyle w:val="ConsPlusNormal"/>
              <w:jc w:val="center"/>
            </w:pPr>
            <w:r>
              <w:t>4</w:t>
            </w:r>
          </w:p>
        </w:tc>
        <w:tc>
          <w:tcPr>
            <w:tcW w:w="1276" w:type="dxa"/>
          </w:tcPr>
          <w:p w:rsidR="004F58AE" w:rsidRDefault="004F58AE">
            <w:pPr>
              <w:pStyle w:val="ConsPlusNormal"/>
              <w:jc w:val="center"/>
            </w:pPr>
            <w:r>
              <w:t>5</w:t>
            </w:r>
          </w:p>
        </w:tc>
        <w:tc>
          <w:tcPr>
            <w:tcW w:w="1404" w:type="dxa"/>
          </w:tcPr>
          <w:p w:rsidR="004F58AE" w:rsidRDefault="004F58AE">
            <w:pPr>
              <w:pStyle w:val="ConsPlusNormal"/>
              <w:jc w:val="center"/>
            </w:pPr>
            <w:r>
              <w:t>6</w:t>
            </w:r>
          </w:p>
        </w:tc>
        <w:tc>
          <w:tcPr>
            <w:tcW w:w="1289" w:type="dxa"/>
          </w:tcPr>
          <w:p w:rsidR="004F58AE" w:rsidRDefault="004F58AE">
            <w:pPr>
              <w:pStyle w:val="ConsPlusNormal"/>
              <w:jc w:val="center"/>
            </w:pPr>
            <w:r>
              <w:t>7</w:t>
            </w:r>
          </w:p>
        </w:tc>
        <w:tc>
          <w:tcPr>
            <w:tcW w:w="2268" w:type="dxa"/>
          </w:tcPr>
          <w:p w:rsidR="004F58AE" w:rsidRDefault="004F58AE">
            <w:pPr>
              <w:pStyle w:val="ConsPlusNormal"/>
              <w:jc w:val="center"/>
            </w:pPr>
            <w:r>
              <w:t>8</w:t>
            </w:r>
          </w:p>
        </w:tc>
        <w:tc>
          <w:tcPr>
            <w:tcW w:w="1814" w:type="dxa"/>
          </w:tcPr>
          <w:p w:rsidR="004F58AE" w:rsidRDefault="004F58AE">
            <w:pPr>
              <w:pStyle w:val="ConsPlusNormal"/>
              <w:jc w:val="center"/>
            </w:pPr>
            <w:r>
              <w:t>9</w:t>
            </w:r>
          </w:p>
        </w:tc>
        <w:tc>
          <w:tcPr>
            <w:tcW w:w="1020" w:type="dxa"/>
          </w:tcPr>
          <w:p w:rsidR="004F58AE" w:rsidRDefault="004F58AE">
            <w:pPr>
              <w:pStyle w:val="ConsPlusNormal"/>
              <w:jc w:val="center"/>
            </w:pPr>
            <w:r>
              <w:t>10</w:t>
            </w:r>
          </w:p>
        </w:tc>
      </w:tr>
      <w:tr w:rsidR="004F58AE">
        <w:tc>
          <w:tcPr>
            <w:tcW w:w="1191" w:type="dxa"/>
          </w:tcPr>
          <w:p w:rsidR="004F58AE" w:rsidRDefault="004F58AE">
            <w:pPr>
              <w:pStyle w:val="ConsPlusNormal"/>
            </w:pPr>
          </w:p>
        </w:tc>
        <w:tc>
          <w:tcPr>
            <w:tcW w:w="1814" w:type="dxa"/>
          </w:tcPr>
          <w:p w:rsidR="004F58AE" w:rsidRDefault="004F58AE">
            <w:pPr>
              <w:pStyle w:val="ConsPlusNormal"/>
            </w:pPr>
          </w:p>
        </w:tc>
        <w:tc>
          <w:tcPr>
            <w:tcW w:w="1559" w:type="dxa"/>
          </w:tcPr>
          <w:p w:rsidR="004F58AE" w:rsidRDefault="004F58AE">
            <w:pPr>
              <w:pStyle w:val="ConsPlusNormal"/>
            </w:pPr>
          </w:p>
        </w:tc>
        <w:tc>
          <w:tcPr>
            <w:tcW w:w="2693" w:type="dxa"/>
            <w:gridSpan w:val="2"/>
          </w:tcPr>
          <w:p w:rsidR="004F58AE" w:rsidRDefault="004F58AE">
            <w:pPr>
              <w:pStyle w:val="ConsPlusNormal"/>
            </w:pPr>
          </w:p>
        </w:tc>
        <w:tc>
          <w:tcPr>
            <w:tcW w:w="2693" w:type="dxa"/>
            <w:gridSpan w:val="2"/>
          </w:tcPr>
          <w:p w:rsidR="004F58AE" w:rsidRDefault="004F58AE">
            <w:pPr>
              <w:pStyle w:val="ConsPlusNormal"/>
            </w:pPr>
          </w:p>
        </w:tc>
        <w:tc>
          <w:tcPr>
            <w:tcW w:w="2268" w:type="dxa"/>
          </w:tcPr>
          <w:p w:rsidR="004F58AE" w:rsidRDefault="004F58AE">
            <w:pPr>
              <w:pStyle w:val="ConsPlusNormal"/>
            </w:pPr>
          </w:p>
        </w:tc>
        <w:tc>
          <w:tcPr>
            <w:tcW w:w="1814" w:type="dxa"/>
          </w:tcPr>
          <w:p w:rsidR="004F58AE" w:rsidRDefault="004F58AE">
            <w:pPr>
              <w:pStyle w:val="ConsPlusNormal"/>
            </w:pPr>
          </w:p>
        </w:tc>
        <w:tc>
          <w:tcPr>
            <w:tcW w:w="1020" w:type="dxa"/>
          </w:tcPr>
          <w:p w:rsidR="004F58AE" w:rsidRDefault="004F58AE">
            <w:pPr>
              <w:pStyle w:val="ConsPlusNormal"/>
            </w:pPr>
          </w:p>
        </w:tc>
      </w:tr>
      <w:tr w:rsidR="004F58AE">
        <w:tc>
          <w:tcPr>
            <w:tcW w:w="1191" w:type="dxa"/>
          </w:tcPr>
          <w:p w:rsidR="004F58AE" w:rsidRDefault="004F58AE">
            <w:pPr>
              <w:pStyle w:val="ConsPlusNormal"/>
            </w:pPr>
          </w:p>
        </w:tc>
        <w:tc>
          <w:tcPr>
            <w:tcW w:w="1814" w:type="dxa"/>
          </w:tcPr>
          <w:p w:rsidR="004F58AE" w:rsidRDefault="004F58AE">
            <w:pPr>
              <w:pStyle w:val="ConsPlusNormal"/>
            </w:pPr>
          </w:p>
        </w:tc>
        <w:tc>
          <w:tcPr>
            <w:tcW w:w="1559" w:type="dxa"/>
          </w:tcPr>
          <w:p w:rsidR="004F58AE" w:rsidRDefault="004F58AE">
            <w:pPr>
              <w:pStyle w:val="ConsPlusNormal"/>
            </w:pPr>
          </w:p>
        </w:tc>
        <w:tc>
          <w:tcPr>
            <w:tcW w:w="2693" w:type="dxa"/>
            <w:gridSpan w:val="2"/>
          </w:tcPr>
          <w:p w:rsidR="004F58AE" w:rsidRDefault="004F58AE">
            <w:pPr>
              <w:pStyle w:val="ConsPlusNormal"/>
            </w:pPr>
          </w:p>
        </w:tc>
        <w:tc>
          <w:tcPr>
            <w:tcW w:w="2693" w:type="dxa"/>
            <w:gridSpan w:val="2"/>
          </w:tcPr>
          <w:p w:rsidR="004F58AE" w:rsidRDefault="004F58AE">
            <w:pPr>
              <w:pStyle w:val="ConsPlusNormal"/>
            </w:pPr>
          </w:p>
        </w:tc>
        <w:tc>
          <w:tcPr>
            <w:tcW w:w="2268" w:type="dxa"/>
          </w:tcPr>
          <w:p w:rsidR="004F58AE" w:rsidRDefault="004F58AE">
            <w:pPr>
              <w:pStyle w:val="ConsPlusNormal"/>
            </w:pPr>
          </w:p>
        </w:tc>
        <w:tc>
          <w:tcPr>
            <w:tcW w:w="1814" w:type="dxa"/>
          </w:tcPr>
          <w:p w:rsidR="004F58AE" w:rsidRDefault="004F58AE">
            <w:pPr>
              <w:pStyle w:val="ConsPlusNormal"/>
            </w:pPr>
          </w:p>
        </w:tc>
        <w:tc>
          <w:tcPr>
            <w:tcW w:w="1020" w:type="dxa"/>
          </w:tcPr>
          <w:p w:rsidR="004F58AE" w:rsidRDefault="004F58AE">
            <w:pPr>
              <w:pStyle w:val="ConsPlusNormal"/>
            </w:pPr>
          </w:p>
        </w:tc>
      </w:tr>
    </w:tbl>
    <w:p w:rsidR="004F58AE" w:rsidRDefault="004F58AE">
      <w:pPr>
        <w:pStyle w:val="ConsPlusNormal"/>
        <w:jc w:val="both"/>
      </w:pPr>
    </w:p>
    <w:p w:rsidR="004F58AE" w:rsidRDefault="004F58AE">
      <w:pPr>
        <w:pStyle w:val="ConsPlusNonformat"/>
        <w:jc w:val="both"/>
      </w:pPr>
      <w:r>
        <w:t>Руководитель (уполномоченное лицо)</w:t>
      </w:r>
    </w:p>
    <w:p w:rsidR="004F58AE" w:rsidRDefault="004F58AE">
      <w:pPr>
        <w:pStyle w:val="ConsPlusNonformat"/>
        <w:jc w:val="both"/>
      </w:pPr>
      <w:r>
        <w:t>уполномоченного органа местного самоуправления ___________   ______________</w:t>
      </w:r>
    </w:p>
    <w:p w:rsidR="004F58AE" w:rsidRDefault="004F58AE">
      <w:pPr>
        <w:pStyle w:val="ConsPlusNonformat"/>
        <w:jc w:val="both"/>
      </w:pPr>
      <w:r>
        <w:t xml:space="preserve">                                                 (подпись)      (Ф.И.О.)</w:t>
      </w:r>
    </w:p>
    <w:p w:rsidR="004F58AE" w:rsidRDefault="004F58AE">
      <w:pPr>
        <w:pStyle w:val="ConsPlusNonformat"/>
        <w:jc w:val="both"/>
      </w:pPr>
      <w:r>
        <w:t>Главный бухгалтер                              ___________   ______________</w:t>
      </w:r>
    </w:p>
    <w:p w:rsidR="004F58AE" w:rsidRDefault="004F58AE">
      <w:pPr>
        <w:pStyle w:val="ConsPlusNonformat"/>
        <w:jc w:val="both"/>
      </w:pPr>
      <w:r>
        <w:t xml:space="preserve">                                                 (подпись)      (Ф.И.О.)</w:t>
      </w:r>
    </w:p>
    <w:p w:rsidR="004F58AE" w:rsidRDefault="004F58AE">
      <w:pPr>
        <w:pStyle w:val="ConsPlusNonformat"/>
        <w:jc w:val="both"/>
      </w:pPr>
      <w:r>
        <w:t>"___" _____________ 20__ года</w:t>
      </w: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right"/>
        <w:outlineLvl w:val="0"/>
      </w:pPr>
      <w:r>
        <w:t>Приложение N 3</w:t>
      </w:r>
    </w:p>
    <w:p w:rsidR="004F58AE" w:rsidRDefault="004F58AE">
      <w:pPr>
        <w:pStyle w:val="ConsPlusNormal"/>
        <w:jc w:val="right"/>
      </w:pPr>
      <w:r>
        <w:t>к постановлению</w:t>
      </w:r>
    </w:p>
    <w:p w:rsidR="004F58AE" w:rsidRDefault="004F58AE">
      <w:pPr>
        <w:pStyle w:val="ConsPlusNormal"/>
        <w:jc w:val="right"/>
      </w:pPr>
      <w:r>
        <w:t>Правительства Саратовской области</w:t>
      </w:r>
    </w:p>
    <w:p w:rsidR="004F58AE" w:rsidRDefault="004F58AE">
      <w:pPr>
        <w:pStyle w:val="ConsPlusNormal"/>
        <w:jc w:val="right"/>
      </w:pPr>
      <w:r>
        <w:t>от 1 сентября 2014 г. N 498-П</w:t>
      </w:r>
    </w:p>
    <w:p w:rsidR="004F58AE" w:rsidRDefault="004F58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F58AE">
        <w:trPr>
          <w:jc w:val="center"/>
        </w:trPr>
        <w:tc>
          <w:tcPr>
            <w:tcW w:w="9294" w:type="dxa"/>
            <w:tcBorders>
              <w:top w:val="nil"/>
              <w:left w:val="single" w:sz="24" w:space="0" w:color="CED3F1"/>
              <w:bottom w:val="nil"/>
              <w:right w:val="single" w:sz="24" w:space="0" w:color="F4F3F8"/>
            </w:tcBorders>
            <w:shd w:val="clear" w:color="auto" w:fill="F4F3F8"/>
          </w:tcPr>
          <w:p w:rsidR="004F58AE" w:rsidRDefault="004F58AE">
            <w:pPr>
              <w:pStyle w:val="ConsPlusNormal"/>
              <w:jc w:val="center"/>
            </w:pPr>
            <w:r>
              <w:rPr>
                <w:color w:val="392C69"/>
              </w:rPr>
              <w:t>Список изменяющих документов</w:t>
            </w:r>
          </w:p>
          <w:p w:rsidR="004F58AE" w:rsidRDefault="004F58AE">
            <w:pPr>
              <w:pStyle w:val="ConsPlusNormal"/>
              <w:jc w:val="center"/>
            </w:pPr>
            <w:r>
              <w:rPr>
                <w:color w:val="392C69"/>
              </w:rPr>
              <w:t xml:space="preserve">(введено </w:t>
            </w:r>
            <w:hyperlink r:id="rId48" w:history="1">
              <w:r>
                <w:rPr>
                  <w:color w:val="0000FF"/>
                </w:rPr>
                <w:t>постановлением</w:t>
              </w:r>
            </w:hyperlink>
            <w:r>
              <w:rPr>
                <w:color w:val="392C69"/>
              </w:rPr>
              <w:t xml:space="preserve"> Правительства Саратовской области</w:t>
            </w:r>
          </w:p>
          <w:p w:rsidR="004F58AE" w:rsidRDefault="004F58AE">
            <w:pPr>
              <w:pStyle w:val="ConsPlusNormal"/>
              <w:jc w:val="center"/>
            </w:pPr>
            <w:r>
              <w:rPr>
                <w:color w:val="392C69"/>
              </w:rPr>
              <w:t>от 27.04.2017 N 209-П)</w:t>
            </w:r>
          </w:p>
        </w:tc>
      </w:tr>
    </w:tbl>
    <w:p w:rsidR="004F58AE" w:rsidRDefault="004F58AE">
      <w:pPr>
        <w:pStyle w:val="ConsPlusNormal"/>
        <w:jc w:val="both"/>
      </w:pPr>
    </w:p>
    <w:p w:rsidR="004F58AE" w:rsidRDefault="004F58AE">
      <w:pPr>
        <w:pStyle w:val="ConsPlusNormal"/>
        <w:jc w:val="center"/>
      </w:pPr>
      <w:bookmarkStart w:id="3" w:name="P180"/>
      <w:bookmarkEnd w:id="3"/>
      <w:r>
        <w:t>Отчет</w:t>
      </w:r>
    </w:p>
    <w:p w:rsidR="004F58AE" w:rsidRDefault="004F58AE">
      <w:pPr>
        <w:pStyle w:val="ConsPlusNormal"/>
        <w:jc w:val="center"/>
      </w:pPr>
      <w:r>
        <w:t>о достижении значений показателей результативности</w:t>
      </w:r>
    </w:p>
    <w:p w:rsidR="004F58AE" w:rsidRDefault="004F58AE">
      <w:pPr>
        <w:pStyle w:val="ConsPlusNormal"/>
        <w:jc w:val="center"/>
      </w:pPr>
      <w:r>
        <w:t>по состоянию на __ ____________ 20__ года</w:t>
      </w:r>
    </w:p>
    <w:p w:rsidR="004F58AE" w:rsidRDefault="004F58AE">
      <w:pPr>
        <w:pStyle w:val="ConsPlusNormal"/>
        <w:jc w:val="both"/>
      </w:pPr>
    </w:p>
    <w:p w:rsidR="004F58AE" w:rsidRDefault="004F58AE">
      <w:pPr>
        <w:pStyle w:val="ConsPlusNormal"/>
        <w:ind w:firstLine="540"/>
        <w:jc w:val="both"/>
      </w:pPr>
      <w:r>
        <w:t>Периодичность: ежеквартальная, не позднее 10 числа, следующего за отчетным кварталом</w:t>
      </w:r>
    </w:p>
    <w:p w:rsidR="004F58AE" w:rsidRDefault="004F58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59"/>
        <w:gridCol w:w="1531"/>
        <w:gridCol w:w="1191"/>
        <w:gridCol w:w="737"/>
        <w:gridCol w:w="964"/>
        <w:gridCol w:w="737"/>
        <w:gridCol w:w="1701"/>
        <w:gridCol w:w="1418"/>
        <w:gridCol w:w="1757"/>
        <w:gridCol w:w="1418"/>
      </w:tblGrid>
      <w:tr w:rsidR="004F58AE">
        <w:tc>
          <w:tcPr>
            <w:tcW w:w="567" w:type="dxa"/>
            <w:vMerge w:val="restart"/>
            <w:vAlign w:val="center"/>
          </w:tcPr>
          <w:p w:rsidR="004F58AE" w:rsidRDefault="004F58AE">
            <w:pPr>
              <w:pStyle w:val="ConsPlusNormal"/>
              <w:jc w:val="center"/>
            </w:pPr>
            <w:r>
              <w:t>N п/п</w:t>
            </w:r>
          </w:p>
        </w:tc>
        <w:tc>
          <w:tcPr>
            <w:tcW w:w="1559" w:type="dxa"/>
            <w:vMerge w:val="restart"/>
            <w:vAlign w:val="center"/>
          </w:tcPr>
          <w:p w:rsidR="004F58AE" w:rsidRDefault="004F58AE">
            <w:pPr>
              <w:pStyle w:val="ConsPlusNormal"/>
              <w:jc w:val="center"/>
            </w:pPr>
            <w:r>
              <w:t xml:space="preserve">Направление расходов </w:t>
            </w:r>
            <w:hyperlink w:anchor="P233" w:history="1">
              <w:r>
                <w:rPr>
                  <w:color w:val="0000FF"/>
                </w:rPr>
                <w:t>&lt;1&gt;</w:t>
              </w:r>
            </w:hyperlink>
          </w:p>
        </w:tc>
        <w:tc>
          <w:tcPr>
            <w:tcW w:w="1531" w:type="dxa"/>
            <w:vMerge w:val="restart"/>
            <w:vAlign w:val="center"/>
          </w:tcPr>
          <w:p w:rsidR="004F58AE" w:rsidRDefault="004F58AE">
            <w:pPr>
              <w:pStyle w:val="ConsPlusNormal"/>
              <w:jc w:val="center"/>
            </w:pPr>
            <w:r>
              <w:t xml:space="preserve">Наименование мероприятия </w:t>
            </w:r>
            <w:hyperlink w:anchor="P237" w:history="1">
              <w:r>
                <w:rPr>
                  <w:color w:val="0000FF"/>
                </w:rPr>
                <w:t>&lt;2&gt;</w:t>
              </w:r>
            </w:hyperlink>
          </w:p>
        </w:tc>
        <w:tc>
          <w:tcPr>
            <w:tcW w:w="1191" w:type="dxa"/>
            <w:vMerge w:val="restart"/>
            <w:vAlign w:val="center"/>
          </w:tcPr>
          <w:p w:rsidR="004F58AE" w:rsidRDefault="004F58AE">
            <w:pPr>
              <w:pStyle w:val="ConsPlusNormal"/>
              <w:jc w:val="center"/>
            </w:pPr>
            <w:r>
              <w:t>Наименование показателя</w:t>
            </w:r>
          </w:p>
        </w:tc>
        <w:tc>
          <w:tcPr>
            <w:tcW w:w="737" w:type="dxa"/>
            <w:vMerge w:val="restart"/>
            <w:vAlign w:val="center"/>
          </w:tcPr>
          <w:p w:rsidR="004F58AE" w:rsidRDefault="004F58AE">
            <w:pPr>
              <w:pStyle w:val="ConsPlusNormal"/>
              <w:jc w:val="center"/>
            </w:pPr>
            <w:r>
              <w:t xml:space="preserve">КБК </w:t>
            </w:r>
            <w:hyperlink w:anchor="P240" w:history="1">
              <w:r>
                <w:rPr>
                  <w:color w:val="0000FF"/>
                </w:rPr>
                <w:t>&lt;3&gt;</w:t>
              </w:r>
            </w:hyperlink>
          </w:p>
        </w:tc>
        <w:tc>
          <w:tcPr>
            <w:tcW w:w="1701" w:type="dxa"/>
            <w:gridSpan w:val="2"/>
            <w:vAlign w:val="center"/>
          </w:tcPr>
          <w:p w:rsidR="004F58AE" w:rsidRDefault="004F58AE">
            <w:pPr>
              <w:pStyle w:val="ConsPlusNormal"/>
              <w:jc w:val="center"/>
            </w:pPr>
            <w:r>
              <w:t>Единица измерения по ОКЕИ</w:t>
            </w:r>
          </w:p>
        </w:tc>
        <w:tc>
          <w:tcPr>
            <w:tcW w:w="1701" w:type="dxa"/>
            <w:vMerge w:val="restart"/>
            <w:vAlign w:val="center"/>
          </w:tcPr>
          <w:p w:rsidR="004F58AE" w:rsidRDefault="004F58AE">
            <w:pPr>
              <w:pStyle w:val="ConsPlusNormal"/>
              <w:jc w:val="center"/>
            </w:pPr>
            <w:r>
              <w:t xml:space="preserve">Год, на который запланировано достижение показателя </w:t>
            </w:r>
            <w:hyperlink w:anchor="P241" w:history="1">
              <w:r>
                <w:rPr>
                  <w:color w:val="0000FF"/>
                </w:rPr>
                <w:t>&lt;4&gt;</w:t>
              </w:r>
            </w:hyperlink>
          </w:p>
        </w:tc>
        <w:tc>
          <w:tcPr>
            <w:tcW w:w="1418" w:type="dxa"/>
            <w:vMerge w:val="restart"/>
            <w:vAlign w:val="center"/>
          </w:tcPr>
          <w:p w:rsidR="004F58AE" w:rsidRDefault="004F58AE">
            <w:pPr>
              <w:pStyle w:val="ConsPlusNormal"/>
              <w:jc w:val="center"/>
            </w:pPr>
            <w:r>
              <w:t>Плановое значение показателя</w:t>
            </w:r>
          </w:p>
        </w:tc>
        <w:tc>
          <w:tcPr>
            <w:tcW w:w="1757" w:type="dxa"/>
            <w:vMerge w:val="restart"/>
            <w:vAlign w:val="center"/>
          </w:tcPr>
          <w:p w:rsidR="004F58AE" w:rsidRDefault="004F58AE">
            <w:pPr>
              <w:pStyle w:val="ConsPlusNormal"/>
              <w:jc w:val="center"/>
            </w:pPr>
            <w:r>
              <w:t>Фактическое значение показателя по состоянию на отчетную дату</w:t>
            </w:r>
          </w:p>
        </w:tc>
        <w:tc>
          <w:tcPr>
            <w:tcW w:w="1418" w:type="dxa"/>
            <w:vMerge w:val="restart"/>
            <w:vAlign w:val="center"/>
          </w:tcPr>
          <w:p w:rsidR="004F58AE" w:rsidRDefault="004F58AE">
            <w:pPr>
              <w:pStyle w:val="ConsPlusNormal"/>
              <w:jc w:val="center"/>
            </w:pPr>
            <w:r>
              <w:t>Причина отклонения</w:t>
            </w:r>
          </w:p>
        </w:tc>
      </w:tr>
      <w:tr w:rsidR="004F58AE">
        <w:tc>
          <w:tcPr>
            <w:tcW w:w="567" w:type="dxa"/>
            <w:vMerge/>
          </w:tcPr>
          <w:p w:rsidR="004F58AE" w:rsidRDefault="004F58AE"/>
        </w:tc>
        <w:tc>
          <w:tcPr>
            <w:tcW w:w="1559" w:type="dxa"/>
            <w:vMerge/>
          </w:tcPr>
          <w:p w:rsidR="004F58AE" w:rsidRDefault="004F58AE"/>
        </w:tc>
        <w:tc>
          <w:tcPr>
            <w:tcW w:w="1531" w:type="dxa"/>
            <w:vMerge/>
          </w:tcPr>
          <w:p w:rsidR="004F58AE" w:rsidRDefault="004F58AE"/>
        </w:tc>
        <w:tc>
          <w:tcPr>
            <w:tcW w:w="1191" w:type="dxa"/>
            <w:vMerge/>
          </w:tcPr>
          <w:p w:rsidR="004F58AE" w:rsidRDefault="004F58AE"/>
        </w:tc>
        <w:tc>
          <w:tcPr>
            <w:tcW w:w="737" w:type="dxa"/>
            <w:vMerge/>
          </w:tcPr>
          <w:p w:rsidR="004F58AE" w:rsidRDefault="004F58AE"/>
        </w:tc>
        <w:tc>
          <w:tcPr>
            <w:tcW w:w="964" w:type="dxa"/>
            <w:vAlign w:val="center"/>
          </w:tcPr>
          <w:p w:rsidR="004F58AE" w:rsidRDefault="004F58AE">
            <w:pPr>
              <w:pStyle w:val="ConsPlusNormal"/>
              <w:jc w:val="center"/>
            </w:pPr>
            <w:r>
              <w:t>наимено</w:t>
            </w:r>
            <w:r>
              <w:lastRenderedPageBreak/>
              <w:t>вание</w:t>
            </w:r>
          </w:p>
        </w:tc>
        <w:tc>
          <w:tcPr>
            <w:tcW w:w="737" w:type="dxa"/>
            <w:vAlign w:val="center"/>
          </w:tcPr>
          <w:p w:rsidR="004F58AE" w:rsidRDefault="004F58AE">
            <w:pPr>
              <w:pStyle w:val="ConsPlusNormal"/>
              <w:jc w:val="center"/>
            </w:pPr>
            <w:r>
              <w:lastRenderedPageBreak/>
              <w:t>код</w:t>
            </w:r>
          </w:p>
        </w:tc>
        <w:tc>
          <w:tcPr>
            <w:tcW w:w="1701" w:type="dxa"/>
            <w:vMerge/>
          </w:tcPr>
          <w:p w:rsidR="004F58AE" w:rsidRDefault="004F58AE"/>
        </w:tc>
        <w:tc>
          <w:tcPr>
            <w:tcW w:w="1418" w:type="dxa"/>
            <w:vMerge/>
          </w:tcPr>
          <w:p w:rsidR="004F58AE" w:rsidRDefault="004F58AE"/>
        </w:tc>
        <w:tc>
          <w:tcPr>
            <w:tcW w:w="1757" w:type="dxa"/>
            <w:vMerge/>
          </w:tcPr>
          <w:p w:rsidR="004F58AE" w:rsidRDefault="004F58AE"/>
        </w:tc>
        <w:tc>
          <w:tcPr>
            <w:tcW w:w="1418" w:type="dxa"/>
            <w:vMerge/>
          </w:tcPr>
          <w:p w:rsidR="004F58AE" w:rsidRDefault="004F58AE"/>
        </w:tc>
      </w:tr>
      <w:tr w:rsidR="004F58AE">
        <w:tc>
          <w:tcPr>
            <w:tcW w:w="567" w:type="dxa"/>
            <w:vAlign w:val="center"/>
          </w:tcPr>
          <w:p w:rsidR="004F58AE" w:rsidRDefault="004F58AE">
            <w:pPr>
              <w:pStyle w:val="ConsPlusNormal"/>
              <w:jc w:val="center"/>
            </w:pPr>
            <w:r>
              <w:lastRenderedPageBreak/>
              <w:t>1</w:t>
            </w:r>
          </w:p>
        </w:tc>
        <w:tc>
          <w:tcPr>
            <w:tcW w:w="1559" w:type="dxa"/>
            <w:vAlign w:val="center"/>
          </w:tcPr>
          <w:p w:rsidR="004F58AE" w:rsidRDefault="004F58AE">
            <w:pPr>
              <w:pStyle w:val="ConsPlusNormal"/>
              <w:jc w:val="center"/>
            </w:pPr>
            <w:r>
              <w:t>2</w:t>
            </w:r>
          </w:p>
        </w:tc>
        <w:tc>
          <w:tcPr>
            <w:tcW w:w="1531" w:type="dxa"/>
            <w:vAlign w:val="center"/>
          </w:tcPr>
          <w:p w:rsidR="004F58AE" w:rsidRDefault="004F58AE">
            <w:pPr>
              <w:pStyle w:val="ConsPlusNormal"/>
              <w:jc w:val="center"/>
            </w:pPr>
            <w:r>
              <w:t>3</w:t>
            </w:r>
          </w:p>
        </w:tc>
        <w:tc>
          <w:tcPr>
            <w:tcW w:w="1191" w:type="dxa"/>
            <w:vAlign w:val="center"/>
          </w:tcPr>
          <w:p w:rsidR="004F58AE" w:rsidRDefault="004F58AE">
            <w:pPr>
              <w:pStyle w:val="ConsPlusNormal"/>
              <w:jc w:val="center"/>
            </w:pPr>
            <w:r>
              <w:t>4</w:t>
            </w:r>
          </w:p>
        </w:tc>
        <w:tc>
          <w:tcPr>
            <w:tcW w:w="737" w:type="dxa"/>
            <w:vAlign w:val="center"/>
          </w:tcPr>
          <w:p w:rsidR="004F58AE" w:rsidRDefault="004F58AE">
            <w:pPr>
              <w:pStyle w:val="ConsPlusNormal"/>
              <w:jc w:val="center"/>
            </w:pPr>
            <w:r>
              <w:t>5</w:t>
            </w:r>
          </w:p>
        </w:tc>
        <w:tc>
          <w:tcPr>
            <w:tcW w:w="964" w:type="dxa"/>
            <w:vAlign w:val="center"/>
          </w:tcPr>
          <w:p w:rsidR="004F58AE" w:rsidRDefault="004F58AE">
            <w:pPr>
              <w:pStyle w:val="ConsPlusNormal"/>
              <w:jc w:val="center"/>
            </w:pPr>
            <w:r>
              <w:t>6</w:t>
            </w:r>
          </w:p>
        </w:tc>
        <w:tc>
          <w:tcPr>
            <w:tcW w:w="737" w:type="dxa"/>
            <w:vAlign w:val="center"/>
          </w:tcPr>
          <w:p w:rsidR="004F58AE" w:rsidRDefault="004F58AE">
            <w:pPr>
              <w:pStyle w:val="ConsPlusNormal"/>
              <w:jc w:val="center"/>
            </w:pPr>
            <w:r>
              <w:t>7</w:t>
            </w:r>
          </w:p>
        </w:tc>
        <w:tc>
          <w:tcPr>
            <w:tcW w:w="1701" w:type="dxa"/>
            <w:vAlign w:val="center"/>
          </w:tcPr>
          <w:p w:rsidR="004F58AE" w:rsidRDefault="004F58AE">
            <w:pPr>
              <w:pStyle w:val="ConsPlusNormal"/>
              <w:jc w:val="center"/>
            </w:pPr>
            <w:r>
              <w:t>8</w:t>
            </w:r>
          </w:p>
        </w:tc>
        <w:tc>
          <w:tcPr>
            <w:tcW w:w="1418" w:type="dxa"/>
            <w:vAlign w:val="center"/>
          </w:tcPr>
          <w:p w:rsidR="004F58AE" w:rsidRDefault="004F58AE">
            <w:pPr>
              <w:pStyle w:val="ConsPlusNormal"/>
              <w:jc w:val="center"/>
            </w:pPr>
            <w:r>
              <w:t>9</w:t>
            </w:r>
          </w:p>
        </w:tc>
        <w:tc>
          <w:tcPr>
            <w:tcW w:w="1757" w:type="dxa"/>
            <w:vAlign w:val="center"/>
          </w:tcPr>
          <w:p w:rsidR="004F58AE" w:rsidRDefault="004F58AE">
            <w:pPr>
              <w:pStyle w:val="ConsPlusNormal"/>
              <w:jc w:val="center"/>
            </w:pPr>
            <w:r>
              <w:t>10</w:t>
            </w:r>
          </w:p>
        </w:tc>
        <w:tc>
          <w:tcPr>
            <w:tcW w:w="1418" w:type="dxa"/>
            <w:vAlign w:val="center"/>
          </w:tcPr>
          <w:p w:rsidR="004F58AE" w:rsidRDefault="004F58AE">
            <w:pPr>
              <w:pStyle w:val="ConsPlusNormal"/>
              <w:jc w:val="center"/>
            </w:pPr>
            <w:r>
              <w:t>11</w:t>
            </w:r>
          </w:p>
        </w:tc>
      </w:tr>
      <w:tr w:rsidR="004F58AE">
        <w:tc>
          <w:tcPr>
            <w:tcW w:w="567" w:type="dxa"/>
            <w:vAlign w:val="center"/>
          </w:tcPr>
          <w:p w:rsidR="004F58AE" w:rsidRDefault="004F58AE">
            <w:pPr>
              <w:pStyle w:val="ConsPlusNormal"/>
            </w:pPr>
          </w:p>
        </w:tc>
        <w:tc>
          <w:tcPr>
            <w:tcW w:w="1559" w:type="dxa"/>
            <w:vAlign w:val="center"/>
          </w:tcPr>
          <w:p w:rsidR="004F58AE" w:rsidRDefault="004F58AE">
            <w:pPr>
              <w:pStyle w:val="ConsPlusNormal"/>
            </w:pPr>
          </w:p>
        </w:tc>
        <w:tc>
          <w:tcPr>
            <w:tcW w:w="1531" w:type="dxa"/>
            <w:vAlign w:val="center"/>
          </w:tcPr>
          <w:p w:rsidR="004F58AE" w:rsidRDefault="004F58AE">
            <w:pPr>
              <w:pStyle w:val="ConsPlusNormal"/>
            </w:pPr>
          </w:p>
        </w:tc>
        <w:tc>
          <w:tcPr>
            <w:tcW w:w="1191" w:type="dxa"/>
            <w:vAlign w:val="center"/>
          </w:tcPr>
          <w:p w:rsidR="004F58AE" w:rsidRDefault="004F58AE">
            <w:pPr>
              <w:pStyle w:val="ConsPlusNormal"/>
            </w:pPr>
          </w:p>
        </w:tc>
        <w:tc>
          <w:tcPr>
            <w:tcW w:w="737" w:type="dxa"/>
            <w:vAlign w:val="center"/>
          </w:tcPr>
          <w:p w:rsidR="004F58AE" w:rsidRDefault="004F58AE">
            <w:pPr>
              <w:pStyle w:val="ConsPlusNormal"/>
            </w:pPr>
          </w:p>
        </w:tc>
        <w:tc>
          <w:tcPr>
            <w:tcW w:w="964" w:type="dxa"/>
            <w:vAlign w:val="center"/>
          </w:tcPr>
          <w:p w:rsidR="004F58AE" w:rsidRDefault="004F58AE">
            <w:pPr>
              <w:pStyle w:val="ConsPlusNormal"/>
            </w:pPr>
          </w:p>
        </w:tc>
        <w:tc>
          <w:tcPr>
            <w:tcW w:w="737" w:type="dxa"/>
            <w:vAlign w:val="center"/>
          </w:tcPr>
          <w:p w:rsidR="004F58AE" w:rsidRDefault="004F58AE">
            <w:pPr>
              <w:pStyle w:val="ConsPlusNormal"/>
            </w:pPr>
          </w:p>
        </w:tc>
        <w:tc>
          <w:tcPr>
            <w:tcW w:w="1701" w:type="dxa"/>
            <w:vAlign w:val="center"/>
          </w:tcPr>
          <w:p w:rsidR="004F58AE" w:rsidRDefault="004F58AE">
            <w:pPr>
              <w:pStyle w:val="ConsPlusNormal"/>
            </w:pPr>
          </w:p>
        </w:tc>
        <w:tc>
          <w:tcPr>
            <w:tcW w:w="1418" w:type="dxa"/>
            <w:vAlign w:val="center"/>
          </w:tcPr>
          <w:p w:rsidR="004F58AE" w:rsidRDefault="004F58AE">
            <w:pPr>
              <w:pStyle w:val="ConsPlusNormal"/>
            </w:pPr>
          </w:p>
        </w:tc>
        <w:tc>
          <w:tcPr>
            <w:tcW w:w="1757" w:type="dxa"/>
            <w:vAlign w:val="center"/>
          </w:tcPr>
          <w:p w:rsidR="004F58AE" w:rsidRDefault="004F58AE">
            <w:pPr>
              <w:pStyle w:val="ConsPlusNormal"/>
            </w:pPr>
          </w:p>
        </w:tc>
        <w:tc>
          <w:tcPr>
            <w:tcW w:w="1418" w:type="dxa"/>
            <w:vAlign w:val="center"/>
          </w:tcPr>
          <w:p w:rsidR="004F58AE" w:rsidRDefault="004F58AE">
            <w:pPr>
              <w:pStyle w:val="ConsPlusNormal"/>
            </w:pPr>
          </w:p>
        </w:tc>
      </w:tr>
      <w:tr w:rsidR="004F58AE">
        <w:tc>
          <w:tcPr>
            <w:tcW w:w="567" w:type="dxa"/>
            <w:vAlign w:val="center"/>
          </w:tcPr>
          <w:p w:rsidR="004F58AE" w:rsidRDefault="004F58AE">
            <w:pPr>
              <w:pStyle w:val="ConsPlusNormal"/>
            </w:pPr>
          </w:p>
        </w:tc>
        <w:tc>
          <w:tcPr>
            <w:tcW w:w="1559" w:type="dxa"/>
            <w:vAlign w:val="center"/>
          </w:tcPr>
          <w:p w:rsidR="004F58AE" w:rsidRDefault="004F58AE">
            <w:pPr>
              <w:pStyle w:val="ConsPlusNormal"/>
            </w:pPr>
          </w:p>
        </w:tc>
        <w:tc>
          <w:tcPr>
            <w:tcW w:w="1531" w:type="dxa"/>
            <w:vAlign w:val="center"/>
          </w:tcPr>
          <w:p w:rsidR="004F58AE" w:rsidRDefault="004F58AE">
            <w:pPr>
              <w:pStyle w:val="ConsPlusNormal"/>
            </w:pPr>
          </w:p>
        </w:tc>
        <w:tc>
          <w:tcPr>
            <w:tcW w:w="1191" w:type="dxa"/>
            <w:vAlign w:val="center"/>
          </w:tcPr>
          <w:p w:rsidR="004F58AE" w:rsidRDefault="004F58AE">
            <w:pPr>
              <w:pStyle w:val="ConsPlusNormal"/>
            </w:pPr>
          </w:p>
        </w:tc>
        <w:tc>
          <w:tcPr>
            <w:tcW w:w="737" w:type="dxa"/>
            <w:vAlign w:val="center"/>
          </w:tcPr>
          <w:p w:rsidR="004F58AE" w:rsidRDefault="004F58AE">
            <w:pPr>
              <w:pStyle w:val="ConsPlusNormal"/>
            </w:pPr>
          </w:p>
        </w:tc>
        <w:tc>
          <w:tcPr>
            <w:tcW w:w="964" w:type="dxa"/>
            <w:vAlign w:val="center"/>
          </w:tcPr>
          <w:p w:rsidR="004F58AE" w:rsidRDefault="004F58AE">
            <w:pPr>
              <w:pStyle w:val="ConsPlusNormal"/>
            </w:pPr>
          </w:p>
        </w:tc>
        <w:tc>
          <w:tcPr>
            <w:tcW w:w="737" w:type="dxa"/>
            <w:vAlign w:val="center"/>
          </w:tcPr>
          <w:p w:rsidR="004F58AE" w:rsidRDefault="004F58AE">
            <w:pPr>
              <w:pStyle w:val="ConsPlusNormal"/>
            </w:pPr>
          </w:p>
        </w:tc>
        <w:tc>
          <w:tcPr>
            <w:tcW w:w="1701" w:type="dxa"/>
            <w:vAlign w:val="center"/>
          </w:tcPr>
          <w:p w:rsidR="004F58AE" w:rsidRDefault="004F58AE">
            <w:pPr>
              <w:pStyle w:val="ConsPlusNormal"/>
            </w:pPr>
          </w:p>
        </w:tc>
        <w:tc>
          <w:tcPr>
            <w:tcW w:w="1418" w:type="dxa"/>
            <w:vAlign w:val="center"/>
          </w:tcPr>
          <w:p w:rsidR="004F58AE" w:rsidRDefault="004F58AE">
            <w:pPr>
              <w:pStyle w:val="ConsPlusNormal"/>
            </w:pPr>
          </w:p>
        </w:tc>
        <w:tc>
          <w:tcPr>
            <w:tcW w:w="1757" w:type="dxa"/>
            <w:vAlign w:val="center"/>
          </w:tcPr>
          <w:p w:rsidR="004F58AE" w:rsidRDefault="004F58AE">
            <w:pPr>
              <w:pStyle w:val="ConsPlusNormal"/>
            </w:pPr>
          </w:p>
        </w:tc>
        <w:tc>
          <w:tcPr>
            <w:tcW w:w="1418" w:type="dxa"/>
            <w:vAlign w:val="center"/>
          </w:tcPr>
          <w:p w:rsidR="004F58AE" w:rsidRDefault="004F58AE">
            <w:pPr>
              <w:pStyle w:val="ConsPlusNormal"/>
            </w:pPr>
          </w:p>
        </w:tc>
      </w:tr>
    </w:tbl>
    <w:p w:rsidR="004F58AE" w:rsidRDefault="004F58AE">
      <w:pPr>
        <w:pStyle w:val="ConsPlusNormal"/>
        <w:jc w:val="both"/>
      </w:pPr>
    </w:p>
    <w:p w:rsidR="004F58AE" w:rsidRDefault="004F58AE">
      <w:pPr>
        <w:pStyle w:val="ConsPlusNonformat"/>
        <w:jc w:val="both"/>
      </w:pPr>
      <w:r>
        <w:t xml:space="preserve">    --------------------------------</w:t>
      </w:r>
    </w:p>
    <w:p w:rsidR="004F58AE" w:rsidRDefault="004F58AE">
      <w:pPr>
        <w:pStyle w:val="ConsPlusNonformat"/>
        <w:jc w:val="both"/>
      </w:pPr>
      <w:bookmarkStart w:id="4" w:name="P233"/>
      <w:bookmarkEnd w:id="4"/>
      <w:r>
        <w:t xml:space="preserve">    &lt;1&gt;   Наименование   кода   направления   расходов   в  соответствии  с</w:t>
      </w:r>
    </w:p>
    <w:p w:rsidR="004F58AE" w:rsidRDefault="004F58AE">
      <w:pPr>
        <w:pStyle w:val="ConsPlusNonformat"/>
        <w:jc w:val="both"/>
      </w:pPr>
      <w:r>
        <w:t>классификацией  расходов  бюджетов  бюджетной системы Российской Федерации,</w:t>
      </w:r>
    </w:p>
    <w:p w:rsidR="004F58AE" w:rsidRDefault="004F58AE">
      <w:pPr>
        <w:pStyle w:val="ConsPlusNonformat"/>
        <w:jc w:val="both"/>
      </w:pPr>
      <w:r>
        <w:t>указываемое  в  настоящей  таблице,  должно  соответствовать  наименованию,</w:t>
      </w:r>
    </w:p>
    <w:p w:rsidR="004F58AE" w:rsidRDefault="004F58AE">
      <w:pPr>
        <w:pStyle w:val="ConsPlusNonformat"/>
        <w:jc w:val="both"/>
      </w:pPr>
      <w:r>
        <w:t>указанному в графе 2 приложения N 1 к соглашению.</w:t>
      </w:r>
    </w:p>
    <w:p w:rsidR="004F58AE" w:rsidRDefault="004F58AE">
      <w:pPr>
        <w:pStyle w:val="ConsPlusNonformat"/>
        <w:jc w:val="both"/>
      </w:pPr>
      <w:bookmarkStart w:id="5" w:name="P237"/>
      <w:bookmarkEnd w:id="5"/>
      <w:r>
        <w:t xml:space="preserve">    &lt;2&gt;  Наименование мероприятия, указываемого в настоящей таблице, должно</w:t>
      </w:r>
    </w:p>
    <w:p w:rsidR="004F58AE" w:rsidRDefault="004F58AE">
      <w:pPr>
        <w:pStyle w:val="ConsPlusNonformat"/>
        <w:jc w:val="both"/>
      </w:pPr>
      <w:r>
        <w:t>соответствовать  наименованию,  указанному  в  графе  3  приложения  N  1 к</w:t>
      </w:r>
    </w:p>
    <w:p w:rsidR="004F58AE" w:rsidRDefault="004F58AE">
      <w:pPr>
        <w:pStyle w:val="ConsPlusNonformat"/>
        <w:jc w:val="both"/>
      </w:pPr>
      <w:r>
        <w:t>соглашению.</w:t>
      </w:r>
    </w:p>
    <w:p w:rsidR="004F58AE" w:rsidRDefault="004F58AE">
      <w:pPr>
        <w:pStyle w:val="ConsPlusNonformat"/>
        <w:jc w:val="both"/>
      </w:pPr>
      <w:bookmarkStart w:id="6" w:name="P240"/>
      <w:bookmarkEnd w:id="6"/>
      <w:r>
        <w:t xml:space="preserve">    &lt;3&gt; Код бюджетной классификации расходов.</w:t>
      </w:r>
    </w:p>
    <w:p w:rsidR="004F58AE" w:rsidRDefault="004F58AE">
      <w:pPr>
        <w:pStyle w:val="ConsPlusNonformat"/>
        <w:jc w:val="both"/>
      </w:pPr>
      <w:bookmarkStart w:id="7" w:name="P241"/>
      <w:bookmarkEnd w:id="7"/>
      <w:r>
        <w:t xml:space="preserve">    &lt;4&gt;  Заполняется  в  случае  заключения соглашения на срок более одного</w:t>
      </w:r>
    </w:p>
    <w:p w:rsidR="004F58AE" w:rsidRDefault="004F58AE">
      <w:pPr>
        <w:pStyle w:val="ConsPlusNonformat"/>
        <w:jc w:val="both"/>
      </w:pPr>
      <w:r>
        <w:t>года.</w:t>
      </w:r>
    </w:p>
    <w:p w:rsidR="004F58AE" w:rsidRDefault="004F58AE">
      <w:pPr>
        <w:pStyle w:val="ConsPlusNonformat"/>
        <w:jc w:val="both"/>
      </w:pPr>
    </w:p>
    <w:p w:rsidR="004F58AE" w:rsidRDefault="004F58AE">
      <w:pPr>
        <w:pStyle w:val="ConsPlusNonformat"/>
        <w:jc w:val="both"/>
      </w:pPr>
      <w:r>
        <w:t xml:space="preserve">    Руководитель</w:t>
      </w:r>
    </w:p>
    <w:p w:rsidR="004F58AE" w:rsidRDefault="004F58AE">
      <w:pPr>
        <w:pStyle w:val="ConsPlusNonformat"/>
        <w:jc w:val="both"/>
      </w:pPr>
    </w:p>
    <w:p w:rsidR="004F58AE" w:rsidRDefault="004F58AE">
      <w:pPr>
        <w:pStyle w:val="ConsPlusNonformat"/>
        <w:jc w:val="both"/>
      </w:pPr>
      <w:r>
        <w:t xml:space="preserve">    "__" ___________ 20__ года ______________ ___________________</w:t>
      </w:r>
    </w:p>
    <w:p w:rsidR="004F58AE" w:rsidRDefault="004F58AE">
      <w:pPr>
        <w:pStyle w:val="ConsPlusNonformat"/>
        <w:jc w:val="both"/>
      </w:pPr>
      <w:r>
        <w:t xml:space="preserve">                                  (подпись)        (Ф.И.О.)</w:t>
      </w: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both"/>
      </w:pPr>
    </w:p>
    <w:p w:rsidR="004F58AE" w:rsidRDefault="004F58AE">
      <w:pPr>
        <w:pStyle w:val="ConsPlusNormal"/>
        <w:jc w:val="right"/>
        <w:outlineLvl w:val="0"/>
      </w:pPr>
      <w:r>
        <w:t>Приложение N 4</w:t>
      </w:r>
    </w:p>
    <w:p w:rsidR="004F58AE" w:rsidRDefault="004F58AE">
      <w:pPr>
        <w:pStyle w:val="ConsPlusNormal"/>
        <w:jc w:val="right"/>
      </w:pPr>
      <w:r>
        <w:t>к постановлению</w:t>
      </w:r>
    </w:p>
    <w:p w:rsidR="004F58AE" w:rsidRDefault="004F58AE">
      <w:pPr>
        <w:pStyle w:val="ConsPlusNormal"/>
        <w:jc w:val="right"/>
      </w:pPr>
      <w:r>
        <w:t>Правительства Саратовской области</w:t>
      </w:r>
    </w:p>
    <w:p w:rsidR="004F58AE" w:rsidRDefault="004F58AE">
      <w:pPr>
        <w:pStyle w:val="ConsPlusNormal"/>
        <w:jc w:val="right"/>
      </w:pPr>
      <w:r>
        <w:t>от 1 сентября 2014 г. N 498-П</w:t>
      </w:r>
    </w:p>
    <w:p w:rsidR="004F58AE" w:rsidRDefault="004F58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F58AE">
        <w:trPr>
          <w:jc w:val="center"/>
        </w:trPr>
        <w:tc>
          <w:tcPr>
            <w:tcW w:w="9294" w:type="dxa"/>
            <w:tcBorders>
              <w:top w:val="nil"/>
              <w:left w:val="single" w:sz="24" w:space="0" w:color="CED3F1"/>
              <w:bottom w:val="nil"/>
              <w:right w:val="single" w:sz="24" w:space="0" w:color="F4F3F8"/>
            </w:tcBorders>
            <w:shd w:val="clear" w:color="auto" w:fill="F4F3F8"/>
          </w:tcPr>
          <w:p w:rsidR="004F58AE" w:rsidRDefault="004F58AE">
            <w:pPr>
              <w:pStyle w:val="ConsPlusNormal"/>
              <w:jc w:val="center"/>
            </w:pPr>
            <w:r>
              <w:rPr>
                <w:color w:val="392C69"/>
              </w:rPr>
              <w:t>Список изменяющих документов</w:t>
            </w:r>
          </w:p>
          <w:p w:rsidR="004F58AE" w:rsidRDefault="004F58AE">
            <w:pPr>
              <w:pStyle w:val="ConsPlusNormal"/>
              <w:jc w:val="center"/>
            </w:pPr>
            <w:r>
              <w:rPr>
                <w:color w:val="392C69"/>
              </w:rPr>
              <w:t xml:space="preserve">(введен </w:t>
            </w:r>
            <w:hyperlink r:id="rId49" w:history="1">
              <w:r>
                <w:rPr>
                  <w:color w:val="0000FF"/>
                </w:rPr>
                <w:t>постановлением</w:t>
              </w:r>
            </w:hyperlink>
            <w:r>
              <w:rPr>
                <w:color w:val="392C69"/>
              </w:rPr>
              <w:t xml:space="preserve"> Правительства Саратовской области</w:t>
            </w:r>
          </w:p>
          <w:p w:rsidR="004F58AE" w:rsidRDefault="004F58AE">
            <w:pPr>
              <w:pStyle w:val="ConsPlusNormal"/>
              <w:jc w:val="center"/>
            </w:pPr>
            <w:r>
              <w:rPr>
                <w:color w:val="392C69"/>
              </w:rPr>
              <w:lastRenderedPageBreak/>
              <w:t>от 14.03.2018 N 125-П)</w:t>
            </w:r>
          </w:p>
        </w:tc>
      </w:tr>
    </w:tbl>
    <w:p w:rsidR="004F58AE" w:rsidRDefault="004F58AE">
      <w:pPr>
        <w:pStyle w:val="ConsPlusNormal"/>
        <w:jc w:val="both"/>
      </w:pPr>
    </w:p>
    <w:p w:rsidR="004F58AE" w:rsidRDefault="004F58AE">
      <w:pPr>
        <w:pStyle w:val="ConsPlusNonformat"/>
        <w:jc w:val="both"/>
      </w:pPr>
      <w:bookmarkStart w:id="8" w:name="P261"/>
      <w:bookmarkEnd w:id="8"/>
      <w:r>
        <w:t xml:space="preserve">                               Сводный отчет</w:t>
      </w:r>
    </w:p>
    <w:p w:rsidR="004F58AE" w:rsidRDefault="004F58AE">
      <w:pPr>
        <w:pStyle w:val="ConsPlusNonformat"/>
        <w:jc w:val="both"/>
      </w:pPr>
      <w:r>
        <w:t xml:space="preserve">    министерства молодежной политики и спорта области об использовании</w:t>
      </w:r>
    </w:p>
    <w:p w:rsidR="004F58AE" w:rsidRDefault="004F58AE">
      <w:pPr>
        <w:pStyle w:val="ConsPlusNonformat"/>
        <w:jc w:val="both"/>
      </w:pPr>
      <w:r>
        <w:t xml:space="preserve">     субсидии, предоставленной бюджетам муниципальных районов области</w:t>
      </w:r>
    </w:p>
    <w:p w:rsidR="004F58AE" w:rsidRDefault="004F58AE">
      <w:pPr>
        <w:pStyle w:val="ConsPlusNonformat"/>
        <w:jc w:val="both"/>
      </w:pPr>
      <w:r>
        <w:t xml:space="preserve">     на закупку комплектов искусственных покрытий для футбольных полей</w:t>
      </w:r>
    </w:p>
    <w:p w:rsidR="004F58AE" w:rsidRDefault="004F58AE">
      <w:pPr>
        <w:pStyle w:val="ConsPlusNonformat"/>
        <w:jc w:val="both"/>
      </w:pPr>
      <w:r>
        <w:t xml:space="preserve">               для спортивных детско-юношеских школ области,</w:t>
      </w:r>
    </w:p>
    <w:p w:rsidR="004F58AE" w:rsidRDefault="004F58AE">
      <w:pPr>
        <w:pStyle w:val="ConsPlusNonformat"/>
        <w:jc w:val="both"/>
      </w:pPr>
      <w:r>
        <w:t xml:space="preserve">                 включая их доставку и сертификацию полей</w:t>
      </w:r>
    </w:p>
    <w:p w:rsidR="004F58AE" w:rsidRDefault="004F58AE">
      <w:pPr>
        <w:pStyle w:val="ConsPlusNonformat"/>
        <w:jc w:val="both"/>
      </w:pPr>
    </w:p>
    <w:p w:rsidR="004F58AE" w:rsidRDefault="004F58AE">
      <w:pPr>
        <w:pStyle w:val="ConsPlusNonformat"/>
        <w:jc w:val="both"/>
      </w:pPr>
      <w:r>
        <w:t xml:space="preserve">    Периодичность: до ежеквартально  до  15  числа  месяца,  следующего  за</w:t>
      </w:r>
    </w:p>
    <w:p w:rsidR="004F58AE" w:rsidRDefault="004F58AE">
      <w:pPr>
        <w:pStyle w:val="ConsPlusNonformat"/>
        <w:jc w:val="both"/>
      </w:pPr>
      <w:r>
        <w:t>отчетным кварталом</w:t>
      </w:r>
    </w:p>
    <w:p w:rsidR="004F58AE" w:rsidRDefault="004F58AE">
      <w:pPr>
        <w:pStyle w:val="ConsPlusNonformat"/>
        <w:jc w:val="both"/>
      </w:pPr>
    </w:p>
    <w:p w:rsidR="004F58AE" w:rsidRDefault="004F58AE">
      <w:pPr>
        <w:pStyle w:val="ConsPlusNonformat"/>
        <w:jc w:val="both"/>
      </w:pPr>
      <w:r>
        <w:t xml:space="preserve">                                                                   (рублей)</w:t>
      </w:r>
    </w:p>
    <w:p w:rsidR="004F58AE" w:rsidRDefault="004F58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850"/>
        <w:gridCol w:w="1361"/>
        <w:gridCol w:w="1134"/>
        <w:gridCol w:w="1757"/>
        <w:gridCol w:w="1531"/>
        <w:gridCol w:w="850"/>
        <w:gridCol w:w="1247"/>
        <w:gridCol w:w="1020"/>
        <w:gridCol w:w="1417"/>
      </w:tblGrid>
      <w:tr w:rsidR="004F58AE">
        <w:tc>
          <w:tcPr>
            <w:tcW w:w="567" w:type="dxa"/>
            <w:vMerge w:val="restart"/>
          </w:tcPr>
          <w:p w:rsidR="004F58AE" w:rsidRDefault="004F58AE">
            <w:pPr>
              <w:pStyle w:val="ConsPlusNormal"/>
              <w:jc w:val="center"/>
            </w:pPr>
            <w:r>
              <w:t>N п/п</w:t>
            </w:r>
          </w:p>
        </w:tc>
        <w:tc>
          <w:tcPr>
            <w:tcW w:w="1871" w:type="dxa"/>
            <w:vMerge w:val="restart"/>
          </w:tcPr>
          <w:p w:rsidR="004F58AE" w:rsidRDefault="004F58AE">
            <w:pPr>
              <w:pStyle w:val="ConsPlusNormal"/>
              <w:jc w:val="center"/>
            </w:pPr>
            <w:r>
              <w:t>Наименование муниципального района</w:t>
            </w:r>
          </w:p>
        </w:tc>
        <w:tc>
          <w:tcPr>
            <w:tcW w:w="3345" w:type="dxa"/>
            <w:gridSpan w:val="3"/>
          </w:tcPr>
          <w:p w:rsidR="004F58AE" w:rsidRDefault="004F58AE">
            <w:pPr>
              <w:pStyle w:val="ConsPlusNormal"/>
              <w:jc w:val="center"/>
            </w:pPr>
            <w:r>
              <w:t>Предусмотрено бюджетных ассигнований в местных бюджетах</w:t>
            </w:r>
          </w:p>
        </w:tc>
        <w:tc>
          <w:tcPr>
            <w:tcW w:w="1757" w:type="dxa"/>
            <w:vMerge w:val="restart"/>
          </w:tcPr>
          <w:p w:rsidR="004F58AE" w:rsidRDefault="004F58AE">
            <w:pPr>
              <w:pStyle w:val="ConsPlusNormal"/>
              <w:jc w:val="center"/>
            </w:pPr>
            <w:r>
              <w:t>Предельные объемы оплаты денежных обязательств, отраженные в УФК на дату представления отчета (далее - объемы финансирования)</w:t>
            </w:r>
          </w:p>
        </w:tc>
        <w:tc>
          <w:tcPr>
            <w:tcW w:w="1531" w:type="dxa"/>
            <w:vMerge w:val="restart"/>
          </w:tcPr>
          <w:p w:rsidR="004F58AE" w:rsidRDefault="004F58AE">
            <w:pPr>
              <w:pStyle w:val="ConsPlusNormal"/>
              <w:jc w:val="center"/>
            </w:pPr>
            <w:r>
              <w:t>Поступило в доход местного бюджета субсидии из областного бюджета (нарастающим итогом с начала года)</w:t>
            </w:r>
          </w:p>
        </w:tc>
        <w:tc>
          <w:tcPr>
            <w:tcW w:w="3117" w:type="dxa"/>
            <w:gridSpan w:val="3"/>
          </w:tcPr>
          <w:p w:rsidR="004F58AE" w:rsidRDefault="004F58AE">
            <w:pPr>
              <w:pStyle w:val="ConsPlusNormal"/>
              <w:jc w:val="center"/>
            </w:pPr>
            <w:r>
              <w:t>Кассовые выплаты (нарастающим итогом с начала года)</w:t>
            </w:r>
          </w:p>
        </w:tc>
        <w:tc>
          <w:tcPr>
            <w:tcW w:w="1417" w:type="dxa"/>
            <w:vMerge w:val="restart"/>
          </w:tcPr>
          <w:p w:rsidR="004F58AE" w:rsidRDefault="004F58AE">
            <w:pPr>
              <w:pStyle w:val="ConsPlusNormal"/>
              <w:jc w:val="center"/>
            </w:pPr>
            <w:r>
              <w:t>Остаток средств субсидии на единых счетах местных бюджетов на конец отчетного периода</w:t>
            </w:r>
          </w:p>
        </w:tc>
      </w:tr>
      <w:tr w:rsidR="004F58AE">
        <w:tc>
          <w:tcPr>
            <w:tcW w:w="567" w:type="dxa"/>
            <w:vMerge/>
          </w:tcPr>
          <w:p w:rsidR="004F58AE" w:rsidRDefault="004F58AE"/>
        </w:tc>
        <w:tc>
          <w:tcPr>
            <w:tcW w:w="1871" w:type="dxa"/>
            <w:vMerge/>
          </w:tcPr>
          <w:p w:rsidR="004F58AE" w:rsidRDefault="004F58AE"/>
        </w:tc>
        <w:tc>
          <w:tcPr>
            <w:tcW w:w="850" w:type="dxa"/>
            <w:vMerge w:val="restart"/>
            <w:vAlign w:val="bottom"/>
          </w:tcPr>
          <w:p w:rsidR="004F58AE" w:rsidRDefault="004F58AE">
            <w:pPr>
              <w:pStyle w:val="ConsPlusNormal"/>
              <w:jc w:val="center"/>
            </w:pPr>
            <w:r>
              <w:t>всего</w:t>
            </w:r>
          </w:p>
        </w:tc>
        <w:tc>
          <w:tcPr>
            <w:tcW w:w="2495" w:type="dxa"/>
            <w:gridSpan w:val="2"/>
          </w:tcPr>
          <w:p w:rsidR="004F58AE" w:rsidRDefault="004F58AE">
            <w:pPr>
              <w:pStyle w:val="ConsPlusNormal"/>
              <w:jc w:val="center"/>
            </w:pPr>
            <w:r>
              <w:t>в том числе за счет</w:t>
            </w:r>
          </w:p>
        </w:tc>
        <w:tc>
          <w:tcPr>
            <w:tcW w:w="1757" w:type="dxa"/>
            <w:vMerge/>
          </w:tcPr>
          <w:p w:rsidR="004F58AE" w:rsidRDefault="004F58AE"/>
        </w:tc>
        <w:tc>
          <w:tcPr>
            <w:tcW w:w="1531" w:type="dxa"/>
            <w:vMerge/>
          </w:tcPr>
          <w:p w:rsidR="004F58AE" w:rsidRDefault="004F58AE"/>
        </w:tc>
        <w:tc>
          <w:tcPr>
            <w:tcW w:w="850" w:type="dxa"/>
            <w:vMerge w:val="restart"/>
          </w:tcPr>
          <w:p w:rsidR="004F58AE" w:rsidRDefault="004F58AE">
            <w:pPr>
              <w:pStyle w:val="ConsPlusNormal"/>
              <w:jc w:val="center"/>
            </w:pPr>
            <w:r>
              <w:t>всего</w:t>
            </w:r>
          </w:p>
        </w:tc>
        <w:tc>
          <w:tcPr>
            <w:tcW w:w="2267" w:type="dxa"/>
            <w:gridSpan w:val="2"/>
          </w:tcPr>
          <w:p w:rsidR="004F58AE" w:rsidRDefault="004F58AE">
            <w:pPr>
              <w:pStyle w:val="ConsPlusNormal"/>
              <w:jc w:val="center"/>
            </w:pPr>
            <w:r>
              <w:t>в том числе за счет</w:t>
            </w:r>
          </w:p>
        </w:tc>
        <w:tc>
          <w:tcPr>
            <w:tcW w:w="1417" w:type="dxa"/>
            <w:vMerge/>
          </w:tcPr>
          <w:p w:rsidR="004F58AE" w:rsidRDefault="004F58AE"/>
        </w:tc>
      </w:tr>
      <w:tr w:rsidR="004F58AE">
        <w:tc>
          <w:tcPr>
            <w:tcW w:w="567" w:type="dxa"/>
            <w:vMerge/>
          </w:tcPr>
          <w:p w:rsidR="004F58AE" w:rsidRDefault="004F58AE"/>
        </w:tc>
        <w:tc>
          <w:tcPr>
            <w:tcW w:w="1871" w:type="dxa"/>
            <w:vMerge/>
          </w:tcPr>
          <w:p w:rsidR="004F58AE" w:rsidRDefault="004F58AE"/>
        </w:tc>
        <w:tc>
          <w:tcPr>
            <w:tcW w:w="850" w:type="dxa"/>
            <w:vMerge/>
          </w:tcPr>
          <w:p w:rsidR="004F58AE" w:rsidRDefault="004F58AE"/>
        </w:tc>
        <w:tc>
          <w:tcPr>
            <w:tcW w:w="1361" w:type="dxa"/>
          </w:tcPr>
          <w:p w:rsidR="004F58AE" w:rsidRDefault="004F58AE">
            <w:pPr>
              <w:pStyle w:val="ConsPlusNormal"/>
              <w:jc w:val="center"/>
            </w:pPr>
            <w:r>
              <w:t>субсидии из областного бюджета</w:t>
            </w:r>
          </w:p>
        </w:tc>
        <w:tc>
          <w:tcPr>
            <w:tcW w:w="1134" w:type="dxa"/>
          </w:tcPr>
          <w:p w:rsidR="004F58AE" w:rsidRDefault="004F58AE">
            <w:pPr>
              <w:pStyle w:val="ConsPlusNormal"/>
              <w:jc w:val="center"/>
            </w:pPr>
            <w:r>
              <w:t>средств местного бюджета</w:t>
            </w:r>
          </w:p>
        </w:tc>
        <w:tc>
          <w:tcPr>
            <w:tcW w:w="1757" w:type="dxa"/>
            <w:vMerge/>
          </w:tcPr>
          <w:p w:rsidR="004F58AE" w:rsidRDefault="004F58AE"/>
        </w:tc>
        <w:tc>
          <w:tcPr>
            <w:tcW w:w="1531" w:type="dxa"/>
            <w:vMerge/>
          </w:tcPr>
          <w:p w:rsidR="004F58AE" w:rsidRDefault="004F58AE"/>
        </w:tc>
        <w:tc>
          <w:tcPr>
            <w:tcW w:w="850" w:type="dxa"/>
            <w:vMerge/>
          </w:tcPr>
          <w:p w:rsidR="004F58AE" w:rsidRDefault="004F58AE"/>
        </w:tc>
        <w:tc>
          <w:tcPr>
            <w:tcW w:w="1247" w:type="dxa"/>
          </w:tcPr>
          <w:p w:rsidR="004F58AE" w:rsidRDefault="004F58AE">
            <w:pPr>
              <w:pStyle w:val="ConsPlusNormal"/>
              <w:jc w:val="center"/>
            </w:pPr>
            <w:r>
              <w:t>субсидии из областного бюджета</w:t>
            </w:r>
          </w:p>
        </w:tc>
        <w:tc>
          <w:tcPr>
            <w:tcW w:w="1020" w:type="dxa"/>
          </w:tcPr>
          <w:p w:rsidR="004F58AE" w:rsidRDefault="004F58AE">
            <w:pPr>
              <w:pStyle w:val="ConsPlusNormal"/>
              <w:jc w:val="center"/>
            </w:pPr>
            <w:r>
              <w:t>средств местного бюджета</w:t>
            </w:r>
          </w:p>
        </w:tc>
        <w:tc>
          <w:tcPr>
            <w:tcW w:w="1417" w:type="dxa"/>
            <w:vMerge/>
          </w:tcPr>
          <w:p w:rsidR="004F58AE" w:rsidRDefault="004F58AE"/>
        </w:tc>
      </w:tr>
      <w:tr w:rsidR="004F58AE">
        <w:tc>
          <w:tcPr>
            <w:tcW w:w="567" w:type="dxa"/>
          </w:tcPr>
          <w:p w:rsidR="004F58AE" w:rsidRDefault="004F58AE">
            <w:pPr>
              <w:pStyle w:val="ConsPlusNormal"/>
              <w:jc w:val="center"/>
            </w:pPr>
            <w:r>
              <w:t>1</w:t>
            </w:r>
          </w:p>
        </w:tc>
        <w:tc>
          <w:tcPr>
            <w:tcW w:w="1871" w:type="dxa"/>
          </w:tcPr>
          <w:p w:rsidR="004F58AE" w:rsidRDefault="004F58AE">
            <w:pPr>
              <w:pStyle w:val="ConsPlusNormal"/>
              <w:jc w:val="center"/>
            </w:pPr>
            <w:r>
              <w:t>2</w:t>
            </w:r>
          </w:p>
        </w:tc>
        <w:tc>
          <w:tcPr>
            <w:tcW w:w="850" w:type="dxa"/>
          </w:tcPr>
          <w:p w:rsidR="004F58AE" w:rsidRDefault="004F58AE">
            <w:pPr>
              <w:pStyle w:val="ConsPlusNormal"/>
              <w:jc w:val="center"/>
            </w:pPr>
            <w:r>
              <w:t>3</w:t>
            </w:r>
          </w:p>
        </w:tc>
        <w:tc>
          <w:tcPr>
            <w:tcW w:w="1361" w:type="dxa"/>
          </w:tcPr>
          <w:p w:rsidR="004F58AE" w:rsidRDefault="004F58AE">
            <w:pPr>
              <w:pStyle w:val="ConsPlusNormal"/>
              <w:jc w:val="center"/>
            </w:pPr>
            <w:r>
              <w:t>4</w:t>
            </w:r>
          </w:p>
        </w:tc>
        <w:tc>
          <w:tcPr>
            <w:tcW w:w="1134" w:type="dxa"/>
          </w:tcPr>
          <w:p w:rsidR="004F58AE" w:rsidRDefault="004F58AE">
            <w:pPr>
              <w:pStyle w:val="ConsPlusNormal"/>
              <w:jc w:val="center"/>
            </w:pPr>
            <w:r>
              <w:t>5</w:t>
            </w:r>
          </w:p>
        </w:tc>
        <w:tc>
          <w:tcPr>
            <w:tcW w:w="1757" w:type="dxa"/>
          </w:tcPr>
          <w:p w:rsidR="004F58AE" w:rsidRDefault="004F58AE">
            <w:pPr>
              <w:pStyle w:val="ConsPlusNormal"/>
              <w:jc w:val="center"/>
            </w:pPr>
            <w:r>
              <w:t>6</w:t>
            </w:r>
          </w:p>
        </w:tc>
        <w:tc>
          <w:tcPr>
            <w:tcW w:w="1531" w:type="dxa"/>
          </w:tcPr>
          <w:p w:rsidR="004F58AE" w:rsidRDefault="004F58AE">
            <w:pPr>
              <w:pStyle w:val="ConsPlusNormal"/>
              <w:jc w:val="center"/>
            </w:pPr>
            <w:r>
              <w:t>7</w:t>
            </w:r>
          </w:p>
        </w:tc>
        <w:tc>
          <w:tcPr>
            <w:tcW w:w="850" w:type="dxa"/>
          </w:tcPr>
          <w:p w:rsidR="004F58AE" w:rsidRDefault="004F58AE">
            <w:pPr>
              <w:pStyle w:val="ConsPlusNormal"/>
              <w:jc w:val="center"/>
            </w:pPr>
            <w:r>
              <w:t>8</w:t>
            </w:r>
          </w:p>
        </w:tc>
        <w:tc>
          <w:tcPr>
            <w:tcW w:w="1247" w:type="dxa"/>
          </w:tcPr>
          <w:p w:rsidR="004F58AE" w:rsidRDefault="004F58AE">
            <w:pPr>
              <w:pStyle w:val="ConsPlusNormal"/>
              <w:jc w:val="center"/>
            </w:pPr>
            <w:r>
              <w:t>9</w:t>
            </w:r>
          </w:p>
        </w:tc>
        <w:tc>
          <w:tcPr>
            <w:tcW w:w="1020" w:type="dxa"/>
          </w:tcPr>
          <w:p w:rsidR="004F58AE" w:rsidRDefault="004F58AE">
            <w:pPr>
              <w:pStyle w:val="ConsPlusNormal"/>
              <w:jc w:val="center"/>
            </w:pPr>
            <w:r>
              <w:t>10</w:t>
            </w:r>
          </w:p>
        </w:tc>
        <w:tc>
          <w:tcPr>
            <w:tcW w:w="1417" w:type="dxa"/>
          </w:tcPr>
          <w:p w:rsidR="004F58AE" w:rsidRDefault="004F58AE">
            <w:pPr>
              <w:pStyle w:val="ConsPlusNormal"/>
              <w:jc w:val="center"/>
            </w:pPr>
            <w:r>
              <w:t>11</w:t>
            </w:r>
          </w:p>
        </w:tc>
      </w:tr>
      <w:tr w:rsidR="004F58AE">
        <w:tc>
          <w:tcPr>
            <w:tcW w:w="567" w:type="dxa"/>
          </w:tcPr>
          <w:p w:rsidR="004F58AE" w:rsidRDefault="004F58AE">
            <w:pPr>
              <w:pStyle w:val="ConsPlusNormal"/>
            </w:pPr>
          </w:p>
        </w:tc>
        <w:tc>
          <w:tcPr>
            <w:tcW w:w="1871" w:type="dxa"/>
          </w:tcPr>
          <w:p w:rsidR="004F58AE" w:rsidRDefault="004F58AE">
            <w:pPr>
              <w:pStyle w:val="ConsPlusNormal"/>
            </w:pPr>
          </w:p>
        </w:tc>
        <w:tc>
          <w:tcPr>
            <w:tcW w:w="850" w:type="dxa"/>
          </w:tcPr>
          <w:p w:rsidR="004F58AE" w:rsidRDefault="004F58AE">
            <w:pPr>
              <w:pStyle w:val="ConsPlusNormal"/>
            </w:pPr>
          </w:p>
        </w:tc>
        <w:tc>
          <w:tcPr>
            <w:tcW w:w="1361" w:type="dxa"/>
          </w:tcPr>
          <w:p w:rsidR="004F58AE" w:rsidRDefault="004F58AE">
            <w:pPr>
              <w:pStyle w:val="ConsPlusNormal"/>
            </w:pPr>
          </w:p>
        </w:tc>
        <w:tc>
          <w:tcPr>
            <w:tcW w:w="1134" w:type="dxa"/>
          </w:tcPr>
          <w:p w:rsidR="004F58AE" w:rsidRDefault="004F58AE">
            <w:pPr>
              <w:pStyle w:val="ConsPlusNormal"/>
            </w:pPr>
          </w:p>
        </w:tc>
        <w:tc>
          <w:tcPr>
            <w:tcW w:w="1757" w:type="dxa"/>
          </w:tcPr>
          <w:p w:rsidR="004F58AE" w:rsidRDefault="004F58AE">
            <w:pPr>
              <w:pStyle w:val="ConsPlusNormal"/>
            </w:pPr>
          </w:p>
        </w:tc>
        <w:tc>
          <w:tcPr>
            <w:tcW w:w="1531" w:type="dxa"/>
          </w:tcPr>
          <w:p w:rsidR="004F58AE" w:rsidRDefault="004F58AE">
            <w:pPr>
              <w:pStyle w:val="ConsPlusNormal"/>
            </w:pPr>
          </w:p>
        </w:tc>
        <w:tc>
          <w:tcPr>
            <w:tcW w:w="850" w:type="dxa"/>
          </w:tcPr>
          <w:p w:rsidR="004F58AE" w:rsidRDefault="004F58AE">
            <w:pPr>
              <w:pStyle w:val="ConsPlusNormal"/>
            </w:pPr>
          </w:p>
        </w:tc>
        <w:tc>
          <w:tcPr>
            <w:tcW w:w="1247" w:type="dxa"/>
          </w:tcPr>
          <w:p w:rsidR="004F58AE" w:rsidRDefault="004F58AE">
            <w:pPr>
              <w:pStyle w:val="ConsPlusNormal"/>
            </w:pPr>
          </w:p>
        </w:tc>
        <w:tc>
          <w:tcPr>
            <w:tcW w:w="1020" w:type="dxa"/>
          </w:tcPr>
          <w:p w:rsidR="004F58AE" w:rsidRDefault="004F58AE">
            <w:pPr>
              <w:pStyle w:val="ConsPlusNormal"/>
            </w:pPr>
          </w:p>
        </w:tc>
        <w:tc>
          <w:tcPr>
            <w:tcW w:w="1417" w:type="dxa"/>
          </w:tcPr>
          <w:p w:rsidR="004F58AE" w:rsidRDefault="004F58AE">
            <w:pPr>
              <w:pStyle w:val="ConsPlusNormal"/>
            </w:pPr>
          </w:p>
        </w:tc>
      </w:tr>
      <w:tr w:rsidR="004F58AE">
        <w:tc>
          <w:tcPr>
            <w:tcW w:w="2438" w:type="dxa"/>
            <w:gridSpan w:val="2"/>
          </w:tcPr>
          <w:p w:rsidR="004F58AE" w:rsidRDefault="004F58AE">
            <w:pPr>
              <w:pStyle w:val="ConsPlusNormal"/>
              <w:ind w:firstLine="743"/>
            </w:pPr>
            <w:r>
              <w:t>Итого:</w:t>
            </w:r>
          </w:p>
        </w:tc>
        <w:tc>
          <w:tcPr>
            <w:tcW w:w="850" w:type="dxa"/>
          </w:tcPr>
          <w:p w:rsidR="004F58AE" w:rsidRDefault="004F58AE">
            <w:pPr>
              <w:pStyle w:val="ConsPlusNormal"/>
            </w:pPr>
          </w:p>
        </w:tc>
        <w:tc>
          <w:tcPr>
            <w:tcW w:w="1361" w:type="dxa"/>
          </w:tcPr>
          <w:p w:rsidR="004F58AE" w:rsidRDefault="004F58AE">
            <w:pPr>
              <w:pStyle w:val="ConsPlusNormal"/>
            </w:pPr>
          </w:p>
        </w:tc>
        <w:tc>
          <w:tcPr>
            <w:tcW w:w="1134" w:type="dxa"/>
          </w:tcPr>
          <w:p w:rsidR="004F58AE" w:rsidRDefault="004F58AE">
            <w:pPr>
              <w:pStyle w:val="ConsPlusNormal"/>
            </w:pPr>
          </w:p>
        </w:tc>
        <w:tc>
          <w:tcPr>
            <w:tcW w:w="1757" w:type="dxa"/>
          </w:tcPr>
          <w:p w:rsidR="004F58AE" w:rsidRDefault="004F58AE">
            <w:pPr>
              <w:pStyle w:val="ConsPlusNormal"/>
            </w:pPr>
          </w:p>
        </w:tc>
        <w:tc>
          <w:tcPr>
            <w:tcW w:w="1531" w:type="dxa"/>
          </w:tcPr>
          <w:p w:rsidR="004F58AE" w:rsidRDefault="004F58AE">
            <w:pPr>
              <w:pStyle w:val="ConsPlusNormal"/>
            </w:pPr>
          </w:p>
        </w:tc>
        <w:tc>
          <w:tcPr>
            <w:tcW w:w="850" w:type="dxa"/>
          </w:tcPr>
          <w:p w:rsidR="004F58AE" w:rsidRDefault="004F58AE">
            <w:pPr>
              <w:pStyle w:val="ConsPlusNormal"/>
            </w:pPr>
          </w:p>
        </w:tc>
        <w:tc>
          <w:tcPr>
            <w:tcW w:w="1247" w:type="dxa"/>
          </w:tcPr>
          <w:p w:rsidR="004F58AE" w:rsidRDefault="004F58AE">
            <w:pPr>
              <w:pStyle w:val="ConsPlusNormal"/>
            </w:pPr>
          </w:p>
        </w:tc>
        <w:tc>
          <w:tcPr>
            <w:tcW w:w="1020" w:type="dxa"/>
          </w:tcPr>
          <w:p w:rsidR="004F58AE" w:rsidRDefault="004F58AE">
            <w:pPr>
              <w:pStyle w:val="ConsPlusNormal"/>
            </w:pPr>
          </w:p>
        </w:tc>
        <w:tc>
          <w:tcPr>
            <w:tcW w:w="1417" w:type="dxa"/>
          </w:tcPr>
          <w:p w:rsidR="004F58AE" w:rsidRDefault="004F58AE">
            <w:pPr>
              <w:pStyle w:val="ConsPlusNormal"/>
            </w:pPr>
          </w:p>
        </w:tc>
      </w:tr>
    </w:tbl>
    <w:p w:rsidR="004F58AE" w:rsidRDefault="004F58AE">
      <w:pPr>
        <w:pStyle w:val="ConsPlusNormal"/>
        <w:jc w:val="both"/>
      </w:pPr>
    </w:p>
    <w:p w:rsidR="004F58AE" w:rsidRDefault="004F58AE">
      <w:pPr>
        <w:pStyle w:val="ConsPlusNonformat"/>
        <w:jc w:val="both"/>
      </w:pPr>
      <w:r>
        <w:t>Министр молодежной политики</w:t>
      </w:r>
    </w:p>
    <w:p w:rsidR="004F58AE" w:rsidRDefault="004F58AE">
      <w:pPr>
        <w:pStyle w:val="ConsPlusNonformat"/>
        <w:jc w:val="both"/>
      </w:pPr>
      <w:r>
        <w:t>и спорта области              _________   _________________</w:t>
      </w:r>
    </w:p>
    <w:p w:rsidR="004F58AE" w:rsidRDefault="004F58AE">
      <w:pPr>
        <w:pStyle w:val="ConsPlusNonformat"/>
        <w:jc w:val="both"/>
      </w:pPr>
      <w:r>
        <w:t xml:space="preserve">                              (подпись)       (Ф.И.О.)</w:t>
      </w:r>
    </w:p>
    <w:p w:rsidR="004F58AE" w:rsidRDefault="004F58AE">
      <w:pPr>
        <w:pStyle w:val="ConsPlusNonformat"/>
        <w:jc w:val="both"/>
      </w:pPr>
    </w:p>
    <w:p w:rsidR="004F58AE" w:rsidRDefault="004F58AE">
      <w:pPr>
        <w:pStyle w:val="ConsPlusNonformat"/>
        <w:jc w:val="both"/>
      </w:pPr>
      <w:r>
        <w:lastRenderedPageBreak/>
        <w:t>Исполнитель                   ________   __________________   _____________</w:t>
      </w:r>
    </w:p>
    <w:p w:rsidR="004F58AE" w:rsidRDefault="004F58AE">
      <w:pPr>
        <w:pStyle w:val="ConsPlusNonformat"/>
        <w:jc w:val="both"/>
      </w:pPr>
      <w:r>
        <w:t xml:space="preserve">                              (подпись)       (Ф.И.О.)          (телефон)</w:t>
      </w:r>
    </w:p>
    <w:p w:rsidR="004F58AE" w:rsidRDefault="004F58AE">
      <w:pPr>
        <w:pStyle w:val="ConsPlusNormal"/>
        <w:jc w:val="both"/>
      </w:pPr>
    </w:p>
    <w:p w:rsidR="004F58AE" w:rsidRDefault="004F58AE">
      <w:pPr>
        <w:pStyle w:val="ConsPlusNormal"/>
        <w:jc w:val="both"/>
      </w:pPr>
    </w:p>
    <w:p w:rsidR="004F58AE" w:rsidRDefault="004F58AE">
      <w:pPr>
        <w:pStyle w:val="ConsPlusNormal"/>
        <w:pBdr>
          <w:top w:val="single" w:sz="6" w:space="0" w:color="auto"/>
        </w:pBdr>
        <w:spacing w:before="100" w:after="100"/>
        <w:jc w:val="both"/>
        <w:rPr>
          <w:sz w:val="2"/>
          <w:szCs w:val="2"/>
        </w:rPr>
      </w:pPr>
    </w:p>
    <w:p w:rsidR="00E133D3" w:rsidRDefault="00E133D3">
      <w:bookmarkStart w:id="9" w:name="_GoBack"/>
      <w:bookmarkEnd w:id="9"/>
    </w:p>
    <w:sectPr w:rsidR="00E133D3" w:rsidSect="007C4D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AE"/>
    <w:rsid w:val="004F58AE"/>
    <w:rsid w:val="00E1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4997-4003-4BAF-A673-F3819D0E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8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F964C17FEA8C04C8897B4259792D2801EB3F2DC1F1A8918DBFA15C51B3F98C807338324725DD9C1382AA5M0Q0K" TargetMode="External"/><Relationship Id="rId18" Type="http://schemas.openxmlformats.org/officeDocument/2006/relationships/hyperlink" Target="consultantplus://offline/ref=A5FF964C17FEA8C04C8897B4259792D2801EB3F2DC1F1A8918DBFA15C51B3F98C807338324725DD9C1382AA5M0Q5K" TargetMode="External"/><Relationship Id="rId26" Type="http://schemas.openxmlformats.org/officeDocument/2006/relationships/hyperlink" Target="consultantplus://offline/ref=A5FF964C17FEA8C04C8897B4259792D2801EB3F2DC1F1A8918DBFA15C51B3F98C807338324725DD9C1382AA5M0Q9K" TargetMode="External"/><Relationship Id="rId39" Type="http://schemas.openxmlformats.org/officeDocument/2006/relationships/hyperlink" Target="consultantplus://offline/ref=A5FF964C17FEA8C04C8897B4259792D2801EB3F2DC1F1A8918DBFA15C51B3F98C807338324725DD9C1382AA6M0Q9K" TargetMode="External"/><Relationship Id="rId3" Type="http://schemas.openxmlformats.org/officeDocument/2006/relationships/webSettings" Target="webSettings.xml"/><Relationship Id="rId21" Type="http://schemas.openxmlformats.org/officeDocument/2006/relationships/hyperlink" Target="consultantplus://offline/ref=A5FF964C17FEA8C04C8897B4259792D2801EB3F2DC1F1F8617D8FA15C51B3F98C807338324725DD9C1382AA4M0Q7K" TargetMode="External"/><Relationship Id="rId34" Type="http://schemas.openxmlformats.org/officeDocument/2006/relationships/hyperlink" Target="consultantplus://offline/ref=A5FF964C17FEA8C04C8897B4259792D2801EB3F2DC1F1A8918DBFA15C51B3F98C807338324725DD9C1382AA6M0Q2K" TargetMode="External"/><Relationship Id="rId42" Type="http://schemas.openxmlformats.org/officeDocument/2006/relationships/hyperlink" Target="consultantplus://offline/ref=A5FF964C17FEA8C04C8897B4259792D2801EB3F2DC1F1A8918DBFA15C51B3F98C807338324725DD9C1382AA6M0Q8K" TargetMode="External"/><Relationship Id="rId47" Type="http://schemas.openxmlformats.org/officeDocument/2006/relationships/hyperlink" Target="consultantplus://offline/ref=A5FF964C17FEA8C04C8897B4259792D2801EB3F2DC1E188415D5FA15C51B3F98C807338324725DD9C1382AA6M0Q3K" TargetMode="External"/><Relationship Id="rId50" Type="http://schemas.openxmlformats.org/officeDocument/2006/relationships/fontTable" Target="fontTable.xml"/><Relationship Id="rId7" Type="http://schemas.openxmlformats.org/officeDocument/2006/relationships/hyperlink" Target="consultantplus://offline/ref=A5FF964C17FEA8C04C8897B4259792D2801EB3F2DC1F1F8617D8FA15C51B3F98C807338324725DD9C1382AA4M0Q4K" TargetMode="External"/><Relationship Id="rId12" Type="http://schemas.openxmlformats.org/officeDocument/2006/relationships/hyperlink" Target="consultantplus://offline/ref=A5FF964C17FEA8C04C8897B4259792D2801EB3F2D51A1A8910D7A71FCD42339ACF086C94233B51D8C1382BMAQ4K" TargetMode="External"/><Relationship Id="rId17" Type="http://schemas.openxmlformats.org/officeDocument/2006/relationships/hyperlink" Target="consultantplus://offline/ref=A5FF964C17FEA8C04C8897B4259792D2801EB3F2D51A1A8910D7A71FCD42339ACF086C94233B51D8C1382BMAQ7K" TargetMode="External"/><Relationship Id="rId25" Type="http://schemas.openxmlformats.org/officeDocument/2006/relationships/hyperlink" Target="consultantplus://offline/ref=A5FF964C17FEA8C04C8897B4259792D2801EB3F2D51A1A8910D7A71FCD42339ACF086C94233B51D8C1382BMAQ1K" TargetMode="External"/><Relationship Id="rId33" Type="http://schemas.openxmlformats.org/officeDocument/2006/relationships/hyperlink" Target="consultantplus://offline/ref=A5FF964C17FEA8C04C8897B4259792D2801EB3F2D51A1A8910D7A71FCD42339ACF086C94233B51D8C1382BMAQCK" TargetMode="External"/><Relationship Id="rId38" Type="http://schemas.openxmlformats.org/officeDocument/2006/relationships/hyperlink" Target="consultantplus://offline/ref=A5FF964C17FEA8C04C8897B4259792D2801EB3F2DC1F1A8918DBFA15C51B3F98C807338324725DD9C1382AA6M0Q7K" TargetMode="External"/><Relationship Id="rId46" Type="http://schemas.openxmlformats.org/officeDocument/2006/relationships/hyperlink" Target="consultantplus://offline/ref=A5FF964C17FEA8C04C8897B4259792D2801EB3F2DC1E188415D5FA15C51B3F98C807338324725DD9C1382AA6M0Q0K" TargetMode="External"/><Relationship Id="rId2" Type="http://schemas.openxmlformats.org/officeDocument/2006/relationships/settings" Target="settings.xml"/><Relationship Id="rId16" Type="http://schemas.openxmlformats.org/officeDocument/2006/relationships/hyperlink" Target="consultantplus://offline/ref=A5FF964C17FEA8C04C8897B4259792D2801EB3F2DC1E188415D5FA15C51B3F98C807338324725DD9C1382AA4M0Q9K" TargetMode="External"/><Relationship Id="rId20" Type="http://schemas.openxmlformats.org/officeDocument/2006/relationships/hyperlink" Target="consultantplus://offline/ref=A5FF964C17FEA8C04C8897B4259792D2801EB3F2DC1F1A8918DBFA15C51B3F98C807338324725DD9C1382AA5M0Q4K" TargetMode="External"/><Relationship Id="rId29" Type="http://schemas.openxmlformats.org/officeDocument/2006/relationships/hyperlink" Target="consultantplus://offline/ref=A5FF964C17FEA8C04C8897B4259792D2801EB3F2D51A1A8910D7A71FCD42339ACF086C94233B51D8C1382BMAQ2K" TargetMode="External"/><Relationship Id="rId41" Type="http://schemas.openxmlformats.org/officeDocument/2006/relationships/hyperlink" Target="consultantplus://offline/ref=A5FF964C17FEA8C04C8897B4259792D2801EB3F2D51A1A8910D7A71FCD42339ACF086C94233B51D8C1382BMAQDK" TargetMode="External"/><Relationship Id="rId1" Type="http://schemas.openxmlformats.org/officeDocument/2006/relationships/styles" Target="styles.xml"/><Relationship Id="rId6" Type="http://schemas.openxmlformats.org/officeDocument/2006/relationships/hyperlink" Target="consultantplus://offline/ref=A5FF964C17FEA8C04C8897B4259792D2801EB3F2DC1F1A8918DBFA15C51B3F98C807338324725DD9C1382AA4M0Q4K" TargetMode="External"/><Relationship Id="rId11" Type="http://schemas.openxmlformats.org/officeDocument/2006/relationships/hyperlink" Target="consultantplus://offline/ref=A5FF964C17FEA8C04C8897B4259792D2801EB3F2DC1E188415D5FA15C51B3F98C807338324725DD9C1382AA4M0Q7K" TargetMode="External"/><Relationship Id="rId24" Type="http://schemas.openxmlformats.org/officeDocument/2006/relationships/hyperlink" Target="consultantplus://offline/ref=A5FF964C17FEA8C04C8897B4259792D2801EB3F2DC1F1F8617D8FA15C51B3F98C807338324725DD9C1382AA4M0Q7K" TargetMode="External"/><Relationship Id="rId32" Type="http://schemas.openxmlformats.org/officeDocument/2006/relationships/hyperlink" Target="consultantplus://offline/ref=A5FF964C17FEA8C04C8897B4259792D2801EB3F2DC1E188415D5FA15C51B3F98C807338324725DD9C1382AA5M0Q4K" TargetMode="External"/><Relationship Id="rId37" Type="http://schemas.openxmlformats.org/officeDocument/2006/relationships/hyperlink" Target="consultantplus://offline/ref=A5FF964C17FEA8C04C8897B4259792D2801EB3F2DC1F1F8617D8FA15C51B3F98C807338324725DD9C1382AA5M0Q1K" TargetMode="External"/><Relationship Id="rId40" Type="http://schemas.openxmlformats.org/officeDocument/2006/relationships/hyperlink" Target="consultantplus://offline/ref=A5FF964C17FEA8C04C8897B4259792D2801EB3F2DC1E188415D5FA15C51B3F98C807338324725DD9C1382AA5M0Q9K" TargetMode="External"/><Relationship Id="rId45" Type="http://schemas.openxmlformats.org/officeDocument/2006/relationships/hyperlink" Target="consultantplus://offline/ref=A5FF964C17FEA8C04C8897B4259792D2801EB3F2DC1F1A8918DBFA15C51B3F98C807338324725DD9C1382AA7M0Q0K" TargetMode="External"/><Relationship Id="rId5" Type="http://schemas.openxmlformats.org/officeDocument/2006/relationships/hyperlink" Target="consultantplus://offline/ref=A5FF964C17FEA8C04C8897B4259792D2801EB3F2D51A1A8910D7A71FCD42339ACF086C94233B51D8C1382AMAQ1K" TargetMode="External"/><Relationship Id="rId15" Type="http://schemas.openxmlformats.org/officeDocument/2006/relationships/hyperlink" Target="consultantplus://offline/ref=A5FF964C17FEA8C04C8897B4259792D2801EB3F2DC1F1A8918DBFA15C51B3F98C807338324725DD9C1382AA5M0Q3K" TargetMode="External"/><Relationship Id="rId23" Type="http://schemas.openxmlformats.org/officeDocument/2006/relationships/hyperlink" Target="consultantplus://offline/ref=A5FF964C17FEA8C04C8897B4259792D2801EB3F2DC1F1A8918DBFA15C51B3F98C807338324725DD9C1382AA5M0Q7K" TargetMode="External"/><Relationship Id="rId28" Type="http://schemas.openxmlformats.org/officeDocument/2006/relationships/hyperlink" Target="consultantplus://offline/ref=A5FF964C17FEA8C04C8897B4259792D2801EB3F2DC1F1F8617D8FA15C51B3F98C807338324725DD9C1382AA4M0Q6K" TargetMode="External"/><Relationship Id="rId36" Type="http://schemas.openxmlformats.org/officeDocument/2006/relationships/hyperlink" Target="consultantplus://offline/ref=A5FF964C17FEA8C04C8897B4259792D2801EB3F2DC1F1A8918DBFA15C51B3F98C807338324725DD9C1382AA6M0Q5K" TargetMode="External"/><Relationship Id="rId49" Type="http://schemas.openxmlformats.org/officeDocument/2006/relationships/hyperlink" Target="consultantplus://offline/ref=A5FF964C17FEA8C04C8897B4259792D2801EB3F2DC1E188415D5FA15C51B3F98C807338324725DD9C1382AA6M0Q2K" TargetMode="External"/><Relationship Id="rId10" Type="http://schemas.openxmlformats.org/officeDocument/2006/relationships/hyperlink" Target="consultantplus://offline/ref=A5FF964C17FEA8C04C8897B4259792D2801EB3F2DC1E1A8519DFFA15C51B3F98C807338324725DD9C1302EA7M0Q6K" TargetMode="External"/><Relationship Id="rId19" Type="http://schemas.openxmlformats.org/officeDocument/2006/relationships/hyperlink" Target="consultantplus://offline/ref=A5FF964C17FEA8C04C8897B4259792D2801EB3F2D51A1A8910D7A71FCD42339ACF086C94233B51D8C1382BMAQ0K" TargetMode="External"/><Relationship Id="rId31" Type="http://schemas.openxmlformats.org/officeDocument/2006/relationships/hyperlink" Target="consultantplus://offline/ref=A5FF964C17FEA8C04C8897B4259792D2801EB3F2DC1F1F8617D8FA15C51B3F98C807338324725DD9C1382AA4M0Q8K" TargetMode="External"/><Relationship Id="rId44" Type="http://schemas.openxmlformats.org/officeDocument/2006/relationships/hyperlink" Target="consultantplus://offline/ref=A5FF964C17FEA8C04C8897B4259792D2801EB3F2DC1E188415D5FA15C51B3F98C807338324725DD9C1382AA6M0Q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FF964C17FEA8C04C8897B4259792D2801EB3F2DC1E1A8315DEFA15C51B3F98C807338324725DD9C03929A1M0Q8K" TargetMode="External"/><Relationship Id="rId14" Type="http://schemas.openxmlformats.org/officeDocument/2006/relationships/hyperlink" Target="consultantplus://offline/ref=A5FF964C17FEA8C04C8897B4259792D2801EB3F2D51A1A8910D7A71FCD42339ACF086C94233B51D8C1382BMAQ5K" TargetMode="External"/><Relationship Id="rId22" Type="http://schemas.openxmlformats.org/officeDocument/2006/relationships/hyperlink" Target="consultantplus://offline/ref=A5FF964C17FEA8C04C8897B4259792D2801EB3F2DC1E188415D5FA15C51B3F98C807338324725DD9C1382AA5M0Q1K" TargetMode="External"/><Relationship Id="rId27" Type="http://schemas.openxmlformats.org/officeDocument/2006/relationships/hyperlink" Target="consultantplus://offline/ref=A5FF964C17FEA8C04C8897B4259792D2801EB3F2DC1E188415D5FA15C51B3F98C807338324725DD9C1382AA5M0Q2K" TargetMode="External"/><Relationship Id="rId30" Type="http://schemas.openxmlformats.org/officeDocument/2006/relationships/hyperlink" Target="consultantplus://offline/ref=A5FF964C17FEA8C04C8897B4259792D2801EB3F2DC1F1A8918DBFA15C51B3F98C807338324725DD9C1382AA6M0Q0K" TargetMode="External"/><Relationship Id="rId35" Type="http://schemas.openxmlformats.org/officeDocument/2006/relationships/hyperlink" Target="consultantplus://offline/ref=A5FF964C17FEA8C04C8897B4259792D2801EB3F2DC1E188415D5FA15C51B3F98C807338324725DD9C1382AA5M0Q7K" TargetMode="External"/><Relationship Id="rId43" Type="http://schemas.openxmlformats.org/officeDocument/2006/relationships/hyperlink" Target="consultantplus://offline/ref=A5FF964C17FEA8C04C8897B4259792D2801EB3F2DC1E188415D5FA15C51B3F98C807338324725DD9C1382AA5M0Q8K" TargetMode="External"/><Relationship Id="rId48" Type="http://schemas.openxmlformats.org/officeDocument/2006/relationships/hyperlink" Target="consultantplus://offline/ref=A5FF964C17FEA8C04C8897B4259792D2801EB3F2DC1F1A8918DBFA15C51B3F98C807338324725DD9C1382AA7M0Q7K" TargetMode="External"/><Relationship Id="rId8" Type="http://schemas.openxmlformats.org/officeDocument/2006/relationships/hyperlink" Target="consultantplus://offline/ref=A5FF964C17FEA8C04C8897B4259792D2801EB3F2DC1E188415D5FA15C51B3F98C807338324725DD9C1382AA4M0Q4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18283</Characters>
  <Application>Microsoft Office Word</Application>
  <DocSecurity>0</DocSecurity>
  <Lines>1406</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Пиркина Людмила Владимировна</dc:creator>
  <cp:keywords/>
  <dc:description/>
  <cp:lastModifiedBy>Пиркина Людмила Владимировна</cp:lastModifiedBy>
  <cp:revision>1</cp:revision>
  <dcterms:created xsi:type="dcterms:W3CDTF">2018-06-22T10:16:00Z</dcterms:created>
  <dcterms:modified xsi:type="dcterms:W3CDTF">2018-06-22T10:16:00Z</dcterms:modified>
</cp:coreProperties>
</file>